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AE" w:rsidRPr="00EE5301" w:rsidRDefault="001543AE" w:rsidP="001543AE">
      <w:pPr>
        <w:spacing w:after="60"/>
        <w:jc w:val="center"/>
        <w:rPr>
          <w:iCs/>
          <w:sz w:val="22"/>
          <w:szCs w:val="22"/>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1748"/>
        <w:gridCol w:w="1030"/>
        <w:gridCol w:w="1844"/>
        <w:gridCol w:w="1208"/>
        <w:gridCol w:w="437"/>
        <w:gridCol w:w="914"/>
        <w:gridCol w:w="375"/>
        <w:gridCol w:w="254"/>
        <w:gridCol w:w="852"/>
        <w:gridCol w:w="499"/>
        <w:gridCol w:w="448"/>
        <w:gridCol w:w="985"/>
      </w:tblGrid>
      <w:tr w:rsidR="001543AE" w:rsidRPr="00AE1ED1" w:rsidTr="00EA6F90">
        <w:trPr>
          <w:trHeight w:val="227"/>
          <w:jc w:val="center"/>
        </w:trPr>
        <w:tc>
          <w:tcPr>
            <w:tcW w:w="1494" w:type="pct"/>
            <w:gridSpan w:val="3"/>
            <w:vAlign w:val="center"/>
          </w:tcPr>
          <w:p w:rsidR="001543AE" w:rsidRPr="00AE1ED1" w:rsidRDefault="001543AE" w:rsidP="00DC0F09">
            <w:pPr>
              <w:spacing w:after="60"/>
              <w:rPr>
                <w:lang w:val="sr-Cyrl-CS"/>
              </w:rPr>
            </w:pPr>
            <w:r w:rsidRPr="00AE1ED1">
              <w:rPr>
                <w:b/>
                <w:lang w:val="sr-Cyrl-CS"/>
              </w:rPr>
              <w:t>Име и презиме</w:t>
            </w:r>
          </w:p>
        </w:tc>
        <w:tc>
          <w:tcPr>
            <w:tcW w:w="3506" w:type="pct"/>
            <w:gridSpan w:val="10"/>
            <w:vAlign w:val="center"/>
          </w:tcPr>
          <w:p w:rsidR="001543AE" w:rsidRPr="000273B8" w:rsidRDefault="000273B8" w:rsidP="002F4310">
            <w:pPr>
              <w:spacing w:after="60"/>
            </w:pPr>
            <w:r>
              <w:rPr>
                <w:lang w:val="sr-Cyrl-CS"/>
              </w:rPr>
              <w:t xml:space="preserve">Бојан Станимиров </w:t>
            </w:r>
          </w:p>
        </w:tc>
      </w:tr>
      <w:tr w:rsidR="00AE1ED1" w:rsidRPr="00AE1ED1" w:rsidTr="00EA6F90">
        <w:trPr>
          <w:trHeight w:val="227"/>
          <w:jc w:val="center"/>
        </w:trPr>
        <w:tc>
          <w:tcPr>
            <w:tcW w:w="1494" w:type="pct"/>
            <w:gridSpan w:val="3"/>
            <w:vAlign w:val="center"/>
          </w:tcPr>
          <w:p w:rsidR="00AE1ED1" w:rsidRPr="00AE1ED1" w:rsidRDefault="00AE1ED1" w:rsidP="00AE1ED1">
            <w:pPr>
              <w:spacing w:after="60"/>
              <w:rPr>
                <w:lang w:val="sr-Cyrl-CS"/>
              </w:rPr>
            </w:pPr>
            <w:r w:rsidRPr="00AE1ED1">
              <w:rPr>
                <w:b/>
                <w:lang w:val="sr-Cyrl-CS"/>
              </w:rPr>
              <w:t>Звање</w:t>
            </w:r>
          </w:p>
        </w:tc>
        <w:tc>
          <w:tcPr>
            <w:tcW w:w="3506" w:type="pct"/>
            <w:gridSpan w:val="10"/>
          </w:tcPr>
          <w:p w:rsidR="00AE1ED1" w:rsidRPr="00AE1ED1" w:rsidRDefault="00EE5301" w:rsidP="00AE1ED1">
            <w:pPr>
              <w:rPr>
                <w:lang w:val="sr-Cyrl-CS"/>
              </w:rPr>
            </w:pPr>
            <w:r>
              <w:rPr>
                <w:lang w:val="sr-Cyrl-CS"/>
              </w:rPr>
              <w:t>Доцент</w:t>
            </w:r>
          </w:p>
        </w:tc>
      </w:tr>
      <w:tr w:rsidR="00AE1ED1" w:rsidRPr="00AE1ED1" w:rsidTr="000578B9">
        <w:trPr>
          <w:trHeight w:val="358"/>
          <w:jc w:val="center"/>
        </w:trPr>
        <w:tc>
          <w:tcPr>
            <w:tcW w:w="1494" w:type="pct"/>
            <w:gridSpan w:val="3"/>
            <w:vAlign w:val="center"/>
          </w:tcPr>
          <w:p w:rsidR="00AE1ED1" w:rsidRPr="00AE1ED1" w:rsidRDefault="00AE1ED1" w:rsidP="00AE1ED1">
            <w:pPr>
              <w:spacing w:after="60"/>
              <w:rPr>
                <w:lang w:val="sr-Cyrl-CS"/>
              </w:rPr>
            </w:pPr>
            <w:r w:rsidRPr="00AE1ED1">
              <w:rPr>
                <w:b/>
                <w:lang w:val="sr-Cyrl-CS"/>
              </w:rPr>
              <w:t>Ужа научна, уметничка односно стручна  област</w:t>
            </w:r>
          </w:p>
        </w:tc>
        <w:tc>
          <w:tcPr>
            <w:tcW w:w="3506" w:type="pct"/>
            <w:gridSpan w:val="10"/>
            <w:vAlign w:val="center"/>
          </w:tcPr>
          <w:p w:rsidR="00AE1ED1" w:rsidRPr="00AE1ED1" w:rsidRDefault="00AE1ED1" w:rsidP="00AE1ED1">
            <w:pPr>
              <w:spacing w:after="60"/>
              <w:rPr>
                <w:lang w:val="sr-Cyrl-CS"/>
              </w:rPr>
            </w:pPr>
            <w:r w:rsidRPr="00AE1ED1">
              <w:rPr>
                <w:lang w:val="sr-Cyrl-CS"/>
              </w:rPr>
              <w:t>Биохемија</w:t>
            </w:r>
          </w:p>
        </w:tc>
      </w:tr>
      <w:tr w:rsidR="00AE1ED1" w:rsidRPr="00AE1ED1" w:rsidTr="00F26109">
        <w:trPr>
          <w:trHeight w:val="227"/>
          <w:jc w:val="center"/>
        </w:trPr>
        <w:tc>
          <w:tcPr>
            <w:tcW w:w="1032" w:type="pct"/>
            <w:gridSpan w:val="2"/>
            <w:vAlign w:val="center"/>
          </w:tcPr>
          <w:p w:rsidR="00AE1ED1" w:rsidRPr="00AE1ED1" w:rsidRDefault="00AE1ED1" w:rsidP="00AE1ED1">
            <w:pPr>
              <w:spacing w:after="60"/>
              <w:rPr>
                <w:lang w:val="sr-Cyrl-CS"/>
              </w:rPr>
            </w:pPr>
            <w:r w:rsidRPr="00AE1ED1">
              <w:rPr>
                <w:b/>
                <w:lang w:val="sr-Cyrl-CS"/>
              </w:rPr>
              <w:t>Академска каријера</w:t>
            </w:r>
          </w:p>
        </w:tc>
        <w:tc>
          <w:tcPr>
            <w:tcW w:w="462" w:type="pct"/>
            <w:vAlign w:val="center"/>
          </w:tcPr>
          <w:p w:rsidR="00AE1ED1" w:rsidRPr="00AE1ED1" w:rsidRDefault="00AE1ED1" w:rsidP="00AE1ED1">
            <w:pPr>
              <w:spacing w:after="60"/>
              <w:rPr>
                <w:lang w:val="sr-Cyrl-CS"/>
              </w:rPr>
            </w:pPr>
            <w:r w:rsidRPr="00AE1ED1">
              <w:rPr>
                <w:lang w:val="sr-Cyrl-CS"/>
              </w:rPr>
              <w:t xml:space="preserve">Година </w:t>
            </w:r>
          </w:p>
        </w:tc>
        <w:tc>
          <w:tcPr>
            <w:tcW w:w="1565" w:type="pct"/>
            <w:gridSpan w:val="3"/>
            <w:vAlign w:val="center"/>
          </w:tcPr>
          <w:p w:rsidR="00AE1ED1" w:rsidRPr="00AE1ED1" w:rsidRDefault="00AE1ED1" w:rsidP="00AE1ED1">
            <w:pPr>
              <w:spacing w:after="60"/>
              <w:rPr>
                <w:lang w:val="sr-Cyrl-CS"/>
              </w:rPr>
            </w:pPr>
            <w:r w:rsidRPr="00AE1ED1">
              <w:rPr>
                <w:lang w:val="sr-Cyrl-CS"/>
              </w:rPr>
              <w:t xml:space="preserve">Институција </w:t>
            </w:r>
          </w:p>
        </w:tc>
        <w:tc>
          <w:tcPr>
            <w:tcW w:w="1941" w:type="pct"/>
            <w:gridSpan w:val="7"/>
            <w:vAlign w:val="center"/>
          </w:tcPr>
          <w:p w:rsidR="00AE1ED1" w:rsidRPr="00AE1ED1" w:rsidRDefault="00AE1ED1" w:rsidP="00AE1ED1">
            <w:pPr>
              <w:spacing w:after="60"/>
              <w:rPr>
                <w:lang w:val="sr-Cyrl-CS"/>
              </w:rPr>
            </w:pPr>
            <w:r w:rsidRPr="00AE1ED1">
              <w:rPr>
                <w:lang w:val="sr-Cyrl-CS"/>
              </w:rPr>
              <w:t xml:space="preserve">Ужа научна, уметничка односно стручна област </w:t>
            </w:r>
          </w:p>
        </w:tc>
      </w:tr>
      <w:tr w:rsidR="00AE1ED1" w:rsidRPr="00AE1ED1" w:rsidTr="00F26109">
        <w:trPr>
          <w:trHeight w:val="227"/>
          <w:jc w:val="center"/>
        </w:trPr>
        <w:tc>
          <w:tcPr>
            <w:tcW w:w="1032" w:type="pct"/>
            <w:gridSpan w:val="2"/>
          </w:tcPr>
          <w:p w:rsidR="00AE1ED1" w:rsidRPr="00AE1ED1" w:rsidRDefault="00AE1ED1" w:rsidP="00AE1ED1">
            <w:pPr>
              <w:rPr>
                <w:lang w:val="sr-Cyrl-CS"/>
              </w:rPr>
            </w:pPr>
            <w:r w:rsidRPr="00AE1ED1">
              <w:rPr>
                <w:lang w:val="sr-Cyrl-CS"/>
              </w:rPr>
              <w:t>Избор у звање</w:t>
            </w:r>
          </w:p>
        </w:tc>
        <w:tc>
          <w:tcPr>
            <w:tcW w:w="462" w:type="pct"/>
          </w:tcPr>
          <w:p w:rsidR="00AE1ED1" w:rsidRPr="00AE1ED1" w:rsidRDefault="00AE1ED1" w:rsidP="00AE1ED1">
            <w:pPr>
              <w:rPr>
                <w:lang w:val="sr-Cyrl-CS"/>
              </w:rPr>
            </w:pPr>
            <w:r w:rsidRPr="00AE1ED1">
              <w:rPr>
                <w:lang w:val="sr-Cyrl-CS"/>
              </w:rPr>
              <w:t>20</w:t>
            </w:r>
            <w:r w:rsidR="00EE5301">
              <w:rPr>
                <w:lang w:val="sr-Cyrl-CS"/>
              </w:rPr>
              <w:t>23</w:t>
            </w:r>
            <w:r w:rsidRPr="00AE1ED1">
              <w:rPr>
                <w:lang w:val="sr-Cyrl-CS"/>
              </w:rPr>
              <w:t>.</w:t>
            </w:r>
          </w:p>
        </w:tc>
        <w:tc>
          <w:tcPr>
            <w:tcW w:w="1565" w:type="pct"/>
            <w:gridSpan w:val="3"/>
          </w:tcPr>
          <w:p w:rsidR="00AE1ED1" w:rsidRPr="00AE1ED1" w:rsidRDefault="00AE1ED1" w:rsidP="00AE1ED1">
            <w:pPr>
              <w:rPr>
                <w:lang w:val="sr-Cyrl-CS"/>
              </w:rPr>
            </w:pPr>
            <w:r w:rsidRPr="00AE1ED1">
              <w:rPr>
                <w:lang w:val="sr-Cyrl-CS"/>
              </w:rPr>
              <w:t>Медицински факултет у Новом Саду</w:t>
            </w:r>
          </w:p>
        </w:tc>
        <w:tc>
          <w:tcPr>
            <w:tcW w:w="1941" w:type="pct"/>
            <w:gridSpan w:val="7"/>
          </w:tcPr>
          <w:p w:rsidR="00AE1ED1" w:rsidRPr="00AE1ED1" w:rsidRDefault="00AE1ED1" w:rsidP="00AE1ED1">
            <w:pPr>
              <w:rPr>
                <w:lang w:val="sr-Cyrl-CS"/>
              </w:rPr>
            </w:pPr>
            <w:r w:rsidRPr="00AE1ED1">
              <w:rPr>
                <w:lang w:val="sr-Cyrl-CS"/>
              </w:rPr>
              <w:t>Биохемија</w:t>
            </w:r>
          </w:p>
        </w:tc>
      </w:tr>
      <w:tr w:rsidR="00AE1ED1" w:rsidRPr="00AE1ED1" w:rsidTr="00F26109">
        <w:trPr>
          <w:trHeight w:val="227"/>
          <w:jc w:val="center"/>
        </w:trPr>
        <w:tc>
          <w:tcPr>
            <w:tcW w:w="1032" w:type="pct"/>
            <w:gridSpan w:val="2"/>
          </w:tcPr>
          <w:p w:rsidR="00AE1ED1" w:rsidRPr="00AE1ED1" w:rsidRDefault="00AE1ED1" w:rsidP="00AE1ED1">
            <w:pPr>
              <w:rPr>
                <w:lang w:val="sr-Cyrl-CS"/>
              </w:rPr>
            </w:pPr>
            <w:r w:rsidRPr="00AE1ED1">
              <w:rPr>
                <w:lang w:val="sr-Cyrl-CS"/>
              </w:rPr>
              <w:t>Докторат</w:t>
            </w:r>
          </w:p>
        </w:tc>
        <w:tc>
          <w:tcPr>
            <w:tcW w:w="462" w:type="pct"/>
          </w:tcPr>
          <w:p w:rsidR="00AE1ED1" w:rsidRPr="00AE1ED1" w:rsidRDefault="00AE1ED1" w:rsidP="00AE1ED1">
            <w:pPr>
              <w:rPr>
                <w:lang w:val="sr-Cyrl-CS"/>
              </w:rPr>
            </w:pPr>
            <w:r w:rsidRPr="00AE1ED1">
              <w:rPr>
                <w:lang w:val="sr-Cyrl-CS"/>
              </w:rPr>
              <w:t>20</w:t>
            </w:r>
            <w:r w:rsidR="00EE5301">
              <w:rPr>
                <w:lang w:val="sr-Cyrl-CS"/>
              </w:rPr>
              <w:t>18</w:t>
            </w:r>
            <w:r w:rsidRPr="00AE1ED1">
              <w:rPr>
                <w:lang w:val="sr-Cyrl-CS"/>
              </w:rPr>
              <w:t>.</w:t>
            </w:r>
          </w:p>
        </w:tc>
        <w:tc>
          <w:tcPr>
            <w:tcW w:w="1565" w:type="pct"/>
            <w:gridSpan w:val="3"/>
          </w:tcPr>
          <w:p w:rsidR="00AE1ED1" w:rsidRPr="00AE1ED1" w:rsidRDefault="00AE1ED1" w:rsidP="00AE1ED1">
            <w:pPr>
              <w:rPr>
                <w:lang w:val="sr-Cyrl-CS"/>
              </w:rPr>
            </w:pPr>
            <w:r w:rsidRPr="00AE1ED1">
              <w:rPr>
                <w:lang w:val="sr-Cyrl-CS"/>
              </w:rPr>
              <w:t>Медицински факултет у Новом Саду</w:t>
            </w:r>
          </w:p>
        </w:tc>
        <w:tc>
          <w:tcPr>
            <w:tcW w:w="1941" w:type="pct"/>
            <w:gridSpan w:val="7"/>
          </w:tcPr>
          <w:p w:rsidR="00AE1ED1" w:rsidRPr="00AE1ED1" w:rsidRDefault="001E57D3" w:rsidP="00AE1ED1">
            <w:pPr>
              <w:rPr>
                <w:lang w:val="sr-Cyrl-CS"/>
              </w:rPr>
            </w:pPr>
            <w:r w:rsidRPr="001E57D3">
              <w:rPr>
                <w:lang w:val="sr-Cyrl-CS"/>
              </w:rPr>
              <w:t>Биохемија, фармакологија са токсикологијом</w:t>
            </w:r>
          </w:p>
        </w:tc>
      </w:tr>
      <w:tr w:rsidR="00AE1ED1" w:rsidRPr="00AE1ED1" w:rsidTr="00F26109">
        <w:trPr>
          <w:trHeight w:val="227"/>
          <w:jc w:val="center"/>
        </w:trPr>
        <w:tc>
          <w:tcPr>
            <w:tcW w:w="1032" w:type="pct"/>
            <w:gridSpan w:val="2"/>
          </w:tcPr>
          <w:p w:rsidR="00AE1ED1" w:rsidRPr="00AE1ED1" w:rsidRDefault="00AE1ED1" w:rsidP="00AE1ED1">
            <w:pPr>
              <w:rPr>
                <w:lang w:val="sr-Cyrl-CS"/>
              </w:rPr>
            </w:pPr>
            <w:r w:rsidRPr="00AE1ED1">
              <w:rPr>
                <w:lang w:val="sr-Cyrl-CS"/>
              </w:rPr>
              <w:t>Диплома</w:t>
            </w:r>
          </w:p>
        </w:tc>
        <w:tc>
          <w:tcPr>
            <w:tcW w:w="462" w:type="pct"/>
          </w:tcPr>
          <w:p w:rsidR="00AE1ED1" w:rsidRPr="00AE1ED1" w:rsidRDefault="00EE5301" w:rsidP="00AE1ED1">
            <w:pPr>
              <w:rPr>
                <w:lang w:val="sr-Cyrl-CS"/>
              </w:rPr>
            </w:pPr>
            <w:r>
              <w:rPr>
                <w:lang w:val="sr-Cyrl-CS"/>
              </w:rPr>
              <w:t>2009.</w:t>
            </w:r>
          </w:p>
        </w:tc>
        <w:tc>
          <w:tcPr>
            <w:tcW w:w="1565" w:type="pct"/>
            <w:gridSpan w:val="3"/>
          </w:tcPr>
          <w:p w:rsidR="00AE1ED1" w:rsidRPr="00AE1ED1" w:rsidRDefault="00AE1ED1" w:rsidP="00AE1ED1">
            <w:pPr>
              <w:rPr>
                <w:lang w:val="sr-Cyrl-CS"/>
              </w:rPr>
            </w:pPr>
            <w:r w:rsidRPr="00AE1ED1">
              <w:rPr>
                <w:lang w:val="sr-Cyrl-CS"/>
              </w:rPr>
              <w:t>Медицински факултет у Новом Саду</w:t>
            </w:r>
          </w:p>
        </w:tc>
        <w:tc>
          <w:tcPr>
            <w:tcW w:w="1941" w:type="pct"/>
            <w:gridSpan w:val="7"/>
          </w:tcPr>
          <w:p w:rsidR="00AE1ED1" w:rsidRPr="00AE1ED1" w:rsidRDefault="001E57D3" w:rsidP="00AE1ED1">
            <w:pPr>
              <w:rPr>
                <w:lang w:val="sr-Cyrl-CS"/>
              </w:rPr>
            </w:pPr>
            <w:r w:rsidRPr="001E57D3">
              <w:rPr>
                <w:lang w:val="sr-Cyrl-CS"/>
              </w:rPr>
              <w:t>Општа медицина</w:t>
            </w:r>
          </w:p>
        </w:tc>
      </w:tr>
      <w:tr w:rsidR="00AE1ED1" w:rsidRPr="00AE1ED1" w:rsidTr="00774809">
        <w:trPr>
          <w:trHeight w:val="227"/>
          <w:jc w:val="center"/>
        </w:trPr>
        <w:tc>
          <w:tcPr>
            <w:tcW w:w="5000" w:type="pct"/>
            <w:gridSpan w:val="13"/>
            <w:vAlign w:val="center"/>
          </w:tcPr>
          <w:p w:rsidR="00AE1ED1" w:rsidRPr="00AE1ED1" w:rsidRDefault="00AE1ED1" w:rsidP="00AE1ED1">
            <w:pPr>
              <w:spacing w:after="60"/>
              <w:rPr>
                <w:lang w:val="sr-Cyrl-CS"/>
              </w:rPr>
            </w:pPr>
            <w:r w:rsidRPr="00AE1ED1">
              <w:rPr>
                <w:b/>
                <w:lang w:val="sr-Cyrl-CS"/>
              </w:rPr>
              <w:t>Списак дисертација</w:t>
            </w:r>
            <w:r w:rsidRPr="00AE1ED1">
              <w:rPr>
                <w:b/>
              </w:rPr>
              <w:t xml:space="preserve">-докторских уметничких пројеката </w:t>
            </w:r>
            <w:r w:rsidRPr="00AE1ED1">
              <w:rPr>
                <w:b/>
                <w:lang w:val="sr-Cyrl-CS"/>
              </w:rPr>
              <w:t>а у којима је наставнк ментор или је био ментор у претходних 10 година</w:t>
            </w:r>
          </w:p>
        </w:tc>
      </w:tr>
      <w:tr w:rsidR="00AE1ED1" w:rsidRPr="00AE1ED1" w:rsidTr="00AE1ED1">
        <w:trPr>
          <w:trHeight w:val="227"/>
          <w:jc w:val="center"/>
        </w:trPr>
        <w:tc>
          <w:tcPr>
            <w:tcW w:w="248" w:type="pct"/>
            <w:vAlign w:val="center"/>
          </w:tcPr>
          <w:p w:rsidR="00AE1ED1" w:rsidRPr="00AE1ED1" w:rsidRDefault="00AE1ED1" w:rsidP="00AE1ED1">
            <w:pPr>
              <w:spacing w:after="60"/>
              <w:rPr>
                <w:lang w:val="sr-Cyrl-CS"/>
              </w:rPr>
            </w:pPr>
            <w:r w:rsidRPr="00AE1ED1">
              <w:rPr>
                <w:lang w:val="sr-Cyrl-CS"/>
              </w:rPr>
              <w:t>Р.Б.</w:t>
            </w:r>
          </w:p>
        </w:tc>
        <w:tc>
          <w:tcPr>
            <w:tcW w:w="2615" w:type="pct"/>
            <w:gridSpan w:val="4"/>
            <w:vAlign w:val="center"/>
          </w:tcPr>
          <w:p w:rsidR="00AE1ED1" w:rsidRPr="00AE1ED1" w:rsidRDefault="00AE1ED1" w:rsidP="00AE1ED1">
            <w:pPr>
              <w:spacing w:after="60"/>
            </w:pPr>
            <w:r w:rsidRPr="00AE1ED1">
              <w:rPr>
                <w:lang w:val="sr-Cyrl-CS"/>
              </w:rPr>
              <w:t>Наслов дисертације</w:t>
            </w:r>
            <w:r w:rsidRPr="00AE1ED1">
              <w:t xml:space="preserve">- докторског уметничког пројекта </w:t>
            </w:r>
          </w:p>
        </w:tc>
        <w:tc>
          <w:tcPr>
            <w:tcW w:w="888" w:type="pct"/>
            <w:gridSpan w:val="4"/>
            <w:vAlign w:val="center"/>
          </w:tcPr>
          <w:p w:rsidR="00AE1ED1" w:rsidRPr="00AE1ED1" w:rsidRDefault="00AE1ED1" w:rsidP="00AE1ED1">
            <w:pPr>
              <w:spacing w:after="60"/>
              <w:rPr>
                <w:lang w:val="sr-Cyrl-CS"/>
              </w:rPr>
            </w:pPr>
            <w:r w:rsidRPr="00AE1ED1">
              <w:rPr>
                <w:lang w:val="sr-Cyrl-CS"/>
              </w:rPr>
              <w:t>Име кандидата</w:t>
            </w:r>
          </w:p>
        </w:tc>
        <w:tc>
          <w:tcPr>
            <w:tcW w:w="606" w:type="pct"/>
            <w:gridSpan w:val="2"/>
            <w:vAlign w:val="center"/>
          </w:tcPr>
          <w:p w:rsidR="00AE1ED1" w:rsidRPr="00AE1ED1" w:rsidRDefault="00AE1ED1" w:rsidP="00AE1ED1">
            <w:pPr>
              <w:spacing w:after="60"/>
              <w:rPr>
                <w:lang w:val="sr-Cyrl-CS"/>
              </w:rPr>
            </w:pPr>
            <w:r w:rsidRPr="00AE1ED1">
              <w:rPr>
                <w:lang w:val="sr-Cyrl-CS"/>
              </w:rPr>
              <w:t xml:space="preserve">*пријављена </w:t>
            </w:r>
          </w:p>
        </w:tc>
        <w:tc>
          <w:tcPr>
            <w:tcW w:w="643" w:type="pct"/>
            <w:gridSpan w:val="2"/>
            <w:vAlign w:val="center"/>
          </w:tcPr>
          <w:p w:rsidR="00AE1ED1" w:rsidRPr="00AE1ED1" w:rsidRDefault="00AE1ED1" w:rsidP="00AE1ED1">
            <w:pPr>
              <w:spacing w:after="60"/>
              <w:rPr>
                <w:lang w:val="sr-Cyrl-CS"/>
              </w:rPr>
            </w:pPr>
            <w:r w:rsidRPr="00AE1ED1">
              <w:rPr>
                <w:lang w:val="sr-Cyrl-CS"/>
              </w:rPr>
              <w:t>** одбрањена</w:t>
            </w:r>
          </w:p>
        </w:tc>
      </w:tr>
      <w:tr w:rsidR="00F42EFA" w:rsidRPr="00AE1ED1" w:rsidTr="00AE1ED1">
        <w:trPr>
          <w:trHeight w:val="227"/>
          <w:jc w:val="center"/>
        </w:trPr>
        <w:tc>
          <w:tcPr>
            <w:tcW w:w="248" w:type="pct"/>
            <w:vAlign w:val="center"/>
          </w:tcPr>
          <w:p w:rsidR="00F42EFA" w:rsidRPr="008F5493" w:rsidRDefault="00AE6BFE" w:rsidP="00DC0F09">
            <w:pPr>
              <w:spacing w:after="60"/>
              <w:rPr>
                <w:lang w:val="sr-Cyrl-CS"/>
              </w:rPr>
            </w:pPr>
            <w:r>
              <w:rPr>
                <w:lang w:val="sr-Cyrl-CS"/>
              </w:rPr>
              <w:t>-</w:t>
            </w:r>
          </w:p>
        </w:tc>
        <w:tc>
          <w:tcPr>
            <w:tcW w:w="2615" w:type="pct"/>
            <w:gridSpan w:val="4"/>
            <w:vAlign w:val="center"/>
          </w:tcPr>
          <w:p w:rsidR="00F42EFA" w:rsidRPr="000578B9" w:rsidRDefault="00AE6BFE" w:rsidP="00DC0F09">
            <w:pPr>
              <w:spacing w:after="60"/>
              <w:rPr>
                <w:caps/>
                <w:sz w:val="16"/>
                <w:szCs w:val="16"/>
                <w:lang w:val="sr-Cyrl-CS"/>
              </w:rPr>
            </w:pPr>
            <w:r>
              <w:rPr>
                <w:caps/>
                <w:sz w:val="16"/>
                <w:szCs w:val="16"/>
                <w:lang w:val="sr-Cyrl-CS"/>
              </w:rPr>
              <w:t>-</w:t>
            </w:r>
          </w:p>
        </w:tc>
        <w:tc>
          <w:tcPr>
            <w:tcW w:w="888" w:type="pct"/>
            <w:gridSpan w:val="4"/>
            <w:vAlign w:val="center"/>
          </w:tcPr>
          <w:p w:rsidR="00524E15" w:rsidRPr="00AE6BFE" w:rsidRDefault="00AE6BFE" w:rsidP="00DC0F09">
            <w:pPr>
              <w:spacing w:after="60"/>
              <w:rPr>
                <w:sz w:val="16"/>
                <w:szCs w:val="16"/>
              </w:rPr>
            </w:pPr>
            <w:r>
              <w:rPr>
                <w:sz w:val="16"/>
                <w:szCs w:val="16"/>
              </w:rPr>
              <w:t>-</w:t>
            </w:r>
          </w:p>
        </w:tc>
        <w:tc>
          <w:tcPr>
            <w:tcW w:w="606" w:type="pct"/>
            <w:gridSpan w:val="2"/>
            <w:vAlign w:val="center"/>
          </w:tcPr>
          <w:p w:rsidR="00F42EFA" w:rsidRPr="00AE6BFE" w:rsidRDefault="00AE6BFE" w:rsidP="00DC0F09">
            <w:pPr>
              <w:spacing w:after="60"/>
              <w:rPr>
                <w:sz w:val="16"/>
                <w:szCs w:val="16"/>
              </w:rPr>
            </w:pPr>
            <w:r>
              <w:rPr>
                <w:sz w:val="16"/>
                <w:szCs w:val="16"/>
              </w:rPr>
              <w:t>-</w:t>
            </w:r>
          </w:p>
        </w:tc>
        <w:tc>
          <w:tcPr>
            <w:tcW w:w="643" w:type="pct"/>
            <w:gridSpan w:val="2"/>
            <w:vAlign w:val="center"/>
          </w:tcPr>
          <w:p w:rsidR="00F42EFA" w:rsidRPr="00AE6BFE" w:rsidRDefault="00AE6BFE" w:rsidP="00DC0F09">
            <w:pPr>
              <w:spacing w:after="60"/>
              <w:rPr>
                <w:sz w:val="16"/>
                <w:szCs w:val="16"/>
              </w:rPr>
            </w:pPr>
            <w:r>
              <w:rPr>
                <w:sz w:val="16"/>
                <w:szCs w:val="16"/>
              </w:rPr>
              <w:t>-</w:t>
            </w:r>
          </w:p>
        </w:tc>
      </w:tr>
      <w:tr w:rsidR="00AE1ED1" w:rsidRPr="00AE1ED1" w:rsidTr="00774809">
        <w:trPr>
          <w:trHeight w:val="227"/>
          <w:jc w:val="center"/>
        </w:trPr>
        <w:tc>
          <w:tcPr>
            <w:tcW w:w="5000" w:type="pct"/>
            <w:gridSpan w:val="13"/>
            <w:vAlign w:val="center"/>
          </w:tcPr>
          <w:p w:rsidR="00AE1ED1" w:rsidRPr="00AE1ED1" w:rsidRDefault="00AE1ED1" w:rsidP="00AE1ED1">
            <w:pPr>
              <w:spacing w:after="60"/>
              <w:rPr>
                <w:lang w:val="sr-Cyrl-CS"/>
              </w:rPr>
            </w:pPr>
            <w:r w:rsidRPr="00AE1ED1">
              <w:rPr>
                <w:lang w:val="sr-Cyrl-CS"/>
              </w:rPr>
              <w:t>*Година  у којој је дисертација</w:t>
            </w:r>
            <w:r w:rsidRPr="00AE1ED1">
              <w:t xml:space="preserve">-докторски уметнички пројекат </w:t>
            </w:r>
            <w:r w:rsidRPr="00AE1ED1">
              <w:rPr>
                <w:lang w:val="sr-Cyrl-CS"/>
              </w:rPr>
              <w:t xml:space="preserve"> пријављена</w:t>
            </w:r>
            <w:r w:rsidRPr="00AE1ED1">
              <w:t xml:space="preserve">-пријављен </w:t>
            </w:r>
            <w:r w:rsidRPr="00AE1ED1">
              <w:rPr>
                <w:lang w:val="sr-Cyrl-CS"/>
              </w:rPr>
              <w:t>(само за дисертације</w:t>
            </w:r>
            <w:r w:rsidRPr="00AE1ED1">
              <w:t xml:space="preserve">-докторске уметничке пројекте </w:t>
            </w:r>
            <w:r w:rsidRPr="00AE1ED1">
              <w:rPr>
                <w:lang w:val="sr-Cyrl-CS"/>
              </w:rPr>
              <w:t xml:space="preserve"> које су у току), ** Година у којој је дисертација</w:t>
            </w:r>
            <w:r w:rsidRPr="00AE1ED1">
              <w:t xml:space="preserve">-докторски уметнички пројекат </w:t>
            </w:r>
            <w:r w:rsidRPr="00AE1ED1">
              <w:rPr>
                <w:lang w:val="sr-Cyrl-CS"/>
              </w:rPr>
              <w:t xml:space="preserve"> одбрањена (само за дисертације</w:t>
            </w:r>
            <w:r w:rsidRPr="00AE1ED1">
              <w:t xml:space="preserve">-докторско уметничке пројекте </w:t>
            </w:r>
            <w:r w:rsidRPr="00AE1ED1">
              <w:rPr>
                <w:lang w:val="sr-Cyrl-CS"/>
              </w:rPr>
              <w:t xml:space="preserve"> из ранијег периода)</w:t>
            </w:r>
          </w:p>
        </w:tc>
      </w:tr>
      <w:tr w:rsidR="00AE1ED1" w:rsidRPr="00AE1ED1" w:rsidTr="00774809">
        <w:trPr>
          <w:trHeight w:val="227"/>
          <w:jc w:val="center"/>
        </w:trPr>
        <w:tc>
          <w:tcPr>
            <w:tcW w:w="5000" w:type="pct"/>
            <w:gridSpan w:val="13"/>
            <w:vAlign w:val="center"/>
          </w:tcPr>
          <w:p w:rsidR="00AE1ED1" w:rsidRPr="00AE1ED1" w:rsidRDefault="00AE1ED1" w:rsidP="00EA6F90">
            <w:pPr>
              <w:spacing w:after="60"/>
              <w:rPr>
                <w:b/>
              </w:rPr>
            </w:pPr>
            <w:r w:rsidRPr="00AE1ED1">
              <w:rPr>
                <w:b/>
                <w:lang w:val="sr-Cyrl-CS"/>
              </w:rPr>
              <w:t>Категоризација публикације</w:t>
            </w:r>
            <w:r w:rsidRPr="00AE1ED1">
              <w:rPr>
                <w:b/>
              </w:rPr>
              <w:t xml:space="preserve"> научних радова  из области датог студијског програма </w:t>
            </w:r>
            <w:r w:rsidRPr="00AE1ED1">
              <w:rPr>
                <w:b/>
                <w:lang w:val="sr-Cyrl-CS"/>
              </w:rPr>
              <w:t xml:space="preserve"> према класификацији ре</w:t>
            </w:r>
            <w:r w:rsidRPr="00AE1ED1">
              <w:rPr>
                <w:b/>
              </w:rPr>
              <w:t>с</w:t>
            </w:r>
            <w:r w:rsidRPr="00AE1ED1">
              <w:rPr>
                <w:b/>
                <w:lang w:val="sr-Cyrl-CS"/>
              </w:rPr>
              <w:t xml:space="preserve">орног Министарства просвете, науке и технолошког развоја  а у складу са допунским захтевевима  стандарда за дато поље </w:t>
            </w:r>
          </w:p>
        </w:tc>
      </w:tr>
      <w:tr w:rsidR="00AE1ED1" w:rsidRPr="00AE1ED1" w:rsidTr="00E627EE">
        <w:trPr>
          <w:trHeight w:val="227"/>
          <w:jc w:val="center"/>
        </w:trPr>
        <w:tc>
          <w:tcPr>
            <w:tcW w:w="248" w:type="pct"/>
            <w:vAlign w:val="center"/>
          </w:tcPr>
          <w:p w:rsidR="00AE1ED1" w:rsidRPr="00AE1ED1" w:rsidRDefault="00AE1ED1" w:rsidP="00AE1ED1">
            <w:pPr>
              <w:spacing w:after="60"/>
              <w:ind w:left="-23"/>
              <w:jc w:val="center"/>
            </w:pPr>
            <w:r w:rsidRPr="00AE1ED1">
              <w:t>Р.б.</w:t>
            </w:r>
          </w:p>
        </w:tc>
        <w:tc>
          <w:tcPr>
            <w:tcW w:w="3389" w:type="pct"/>
            <w:gridSpan w:val="7"/>
          </w:tcPr>
          <w:p w:rsidR="00AE1ED1" w:rsidRPr="00AE1ED1" w:rsidRDefault="00AE1ED1" w:rsidP="00AE1ED1">
            <w:pPr>
              <w:pStyle w:val="TableParagraph"/>
              <w:ind w:left="65" w:right="-15"/>
              <w:jc w:val="center"/>
              <w:rPr>
                <w:sz w:val="20"/>
                <w:szCs w:val="20"/>
              </w:rPr>
            </w:pPr>
            <w:proofErr w:type="spellStart"/>
            <w:r w:rsidRPr="00AE1ED1">
              <w:rPr>
                <w:sz w:val="20"/>
                <w:szCs w:val="20"/>
              </w:rPr>
              <w:t>Публикација</w:t>
            </w:r>
            <w:proofErr w:type="spellEnd"/>
          </w:p>
        </w:tc>
        <w:tc>
          <w:tcPr>
            <w:tcW w:w="496" w:type="pct"/>
            <w:gridSpan w:val="2"/>
          </w:tcPr>
          <w:p w:rsidR="00AE1ED1" w:rsidRPr="00AE1ED1" w:rsidRDefault="00AE1ED1" w:rsidP="00AE1ED1">
            <w:pPr>
              <w:pStyle w:val="TableParagraph"/>
              <w:spacing w:before="8"/>
              <w:jc w:val="center"/>
              <w:rPr>
                <w:sz w:val="20"/>
                <w:szCs w:val="20"/>
              </w:rPr>
            </w:pPr>
            <w:r w:rsidRPr="00AE1ED1">
              <w:rPr>
                <w:sz w:val="20"/>
                <w:szCs w:val="20"/>
              </w:rPr>
              <w:t>ISI</w:t>
            </w:r>
          </w:p>
        </w:tc>
        <w:tc>
          <w:tcPr>
            <w:tcW w:w="425" w:type="pct"/>
            <w:gridSpan w:val="2"/>
          </w:tcPr>
          <w:p w:rsidR="00AE1ED1" w:rsidRPr="00AE1ED1" w:rsidRDefault="00AE1ED1" w:rsidP="00AE1ED1">
            <w:pPr>
              <w:pStyle w:val="TableParagraph"/>
              <w:spacing w:before="8"/>
              <w:jc w:val="center"/>
              <w:rPr>
                <w:sz w:val="20"/>
                <w:szCs w:val="20"/>
              </w:rPr>
            </w:pPr>
            <w:r w:rsidRPr="00AE1ED1">
              <w:rPr>
                <w:sz w:val="20"/>
                <w:szCs w:val="20"/>
              </w:rPr>
              <w:t>M</w:t>
            </w:r>
          </w:p>
        </w:tc>
        <w:tc>
          <w:tcPr>
            <w:tcW w:w="442" w:type="pct"/>
          </w:tcPr>
          <w:p w:rsidR="00AE1ED1" w:rsidRPr="00AE1ED1" w:rsidRDefault="00AE1ED1" w:rsidP="00AE1ED1">
            <w:pPr>
              <w:pStyle w:val="TableParagraph"/>
              <w:spacing w:before="8"/>
              <w:jc w:val="center"/>
              <w:rPr>
                <w:sz w:val="20"/>
                <w:szCs w:val="20"/>
              </w:rPr>
            </w:pPr>
            <w:r w:rsidRPr="00AE1ED1">
              <w:rPr>
                <w:sz w:val="20"/>
                <w:szCs w:val="20"/>
              </w:rPr>
              <w:t>IF</w:t>
            </w:r>
          </w:p>
        </w:tc>
      </w:tr>
      <w:tr w:rsidR="009F0BED" w:rsidRPr="00F26109" w:rsidTr="00AE6BFE">
        <w:trPr>
          <w:trHeight w:val="305"/>
          <w:jc w:val="center"/>
        </w:trPr>
        <w:tc>
          <w:tcPr>
            <w:tcW w:w="248" w:type="pct"/>
            <w:vAlign w:val="center"/>
          </w:tcPr>
          <w:p w:rsidR="009F0BED" w:rsidRDefault="009F0BED" w:rsidP="009F0BED">
            <w:pPr>
              <w:jc w:val="center"/>
              <w:rPr>
                <w:lang w:val="en-US"/>
              </w:rPr>
            </w:pPr>
            <w:r>
              <w:rPr>
                <w:lang w:val="en-US"/>
              </w:rPr>
              <w:t>1.</w:t>
            </w:r>
          </w:p>
        </w:tc>
        <w:tc>
          <w:tcPr>
            <w:tcW w:w="3389" w:type="pct"/>
            <w:gridSpan w:val="7"/>
            <w:shd w:val="clear" w:color="auto" w:fill="auto"/>
          </w:tcPr>
          <w:p w:rsidR="009F0BED" w:rsidRPr="002F31A6" w:rsidRDefault="009F0BED" w:rsidP="009F0BED">
            <w:pPr>
              <w:jc w:val="both"/>
              <w:rPr>
                <w:rFonts w:eastAsia="Calibri"/>
                <w:lang w:val="en-US" w:eastAsia="en-US"/>
              </w:rPr>
            </w:pPr>
            <w:r w:rsidRPr="009F0BED">
              <w:rPr>
                <w:bCs/>
                <w:color w:val="000000"/>
              </w:rPr>
              <w:t>Katanić J</w:t>
            </w:r>
            <w:r>
              <w:rPr>
                <w:color w:val="000000"/>
              </w:rPr>
              <w:t xml:space="preserve">, </w:t>
            </w:r>
            <w:r w:rsidRPr="009F0BED">
              <w:rPr>
                <w:b/>
                <w:bCs/>
                <w:color w:val="000000"/>
              </w:rPr>
              <w:t>Stanimirov B</w:t>
            </w:r>
            <w:r>
              <w:rPr>
                <w:color w:val="000000"/>
              </w:rPr>
              <w:t xml:space="preserve">, Sekeruš V, Đanić M, Pavlović N, Mikov M, et al. </w:t>
            </w:r>
            <w:r w:rsidR="00740FE6">
              <w:rPr>
                <w:color w:val="000000"/>
              </w:rPr>
              <w:fldChar w:fldCharType="begin"/>
            </w:r>
            <w:r>
              <w:rPr>
                <w:color w:val="000000"/>
              </w:rPr>
              <w:instrText xml:space="preserve"> HYPERLINK "https://www.biochemia-medica.com/assets/images/upload/xml_tif/bm-33-2-020601.pdf" </w:instrText>
            </w:r>
            <w:r w:rsidR="00740FE6">
              <w:rPr>
                <w:color w:val="000000"/>
              </w:rPr>
              <w:fldChar w:fldCharType="separate"/>
            </w:r>
            <w:r w:rsidRPr="003A6E70">
              <w:rPr>
                <w:rStyle w:val="Hyperlink"/>
              </w:rPr>
              <w:t>Drug interference with biochemical laboratory tests</w:t>
            </w:r>
            <w:r w:rsidR="00740FE6">
              <w:rPr>
                <w:color w:val="000000"/>
              </w:rPr>
              <w:fldChar w:fldCharType="end"/>
            </w:r>
            <w:r>
              <w:rPr>
                <w:color w:val="000000"/>
              </w:rPr>
              <w:t xml:space="preserve">. Biochem Med. </w:t>
            </w:r>
            <w:r w:rsidRPr="00380948">
              <w:rPr>
                <w:color w:val="000000"/>
              </w:rPr>
              <w:t>2023 Jun 15;33(2):020601</w:t>
            </w:r>
          </w:p>
        </w:tc>
        <w:tc>
          <w:tcPr>
            <w:tcW w:w="496" w:type="pct"/>
            <w:gridSpan w:val="2"/>
            <w:vAlign w:val="center"/>
          </w:tcPr>
          <w:p w:rsidR="009F0BED" w:rsidRPr="00B8654D" w:rsidRDefault="009F0BED" w:rsidP="009F0BED">
            <w:pPr>
              <w:jc w:val="center"/>
              <w:rPr>
                <w:color w:val="000000"/>
              </w:rPr>
            </w:pPr>
            <w:r w:rsidRPr="00380948">
              <w:rPr>
                <w:color w:val="000000"/>
              </w:rPr>
              <w:t>6/27</w:t>
            </w:r>
          </w:p>
        </w:tc>
        <w:tc>
          <w:tcPr>
            <w:tcW w:w="425" w:type="pct"/>
            <w:gridSpan w:val="2"/>
            <w:vAlign w:val="center"/>
          </w:tcPr>
          <w:p w:rsidR="009F0BED" w:rsidRDefault="009F0BED" w:rsidP="009F0BED">
            <w:pPr>
              <w:jc w:val="center"/>
            </w:pPr>
            <w:r>
              <w:rPr>
                <w:color w:val="000000"/>
              </w:rPr>
              <w:t>21</w:t>
            </w:r>
          </w:p>
        </w:tc>
        <w:tc>
          <w:tcPr>
            <w:tcW w:w="442" w:type="pct"/>
            <w:vAlign w:val="center"/>
          </w:tcPr>
          <w:p w:rsidR="009F0BED" w:rsidRPr="00B8654D" w:rsidRDefault="009F0BED" w:rsidP="009F0BED">
            <w:pPr>
              <w:jc w:val="center"/>
            </w:pPr>
            <w:r>
              <w:t>3.8</w:t>
            </w:r>
          </w:p>
        </w:tc>
      </w:tr>
      <w:tr w:rsidR="009F0BED" w:rsidRPr="00F26109" w:rsidTr="00AE6BFE">
        <w:trPr>
          <w:trHeight w:val="305"/>
          <w:jc w:val="center"/>
        </w:trPr>
        <w:tc>
          <w:tcPr>
            <w:tcW w:w="248" w:type="pct"/>
            <w:vAlign w:val="center"/>
          </w:tcPr>
          <w:p w:rsidR="009F0BED" w:rsidRDefault="009F0BED" w:rsidP="009F0BED">
            <w:pPr>
              <w:jc w:val="center"/>
              <w:rPr>
                <w:lang w:val="en-US"/>
              </w:rPr>
            </w:pPr>
            <w:r>
              <w:rPr>
                <w:lang w:val="en-US"/>
              </w:rPr>
              <w:t>2.</w:t>
            </w:r>
          </w:p>
        </w:tc>
        <w:tc>
          <w:tcPr>
            <w:tcW w:w="3389" w:type="pct"/>
            <w:gridSpan w:val="7"/>
            <w:shd w:val="clear" w:color="auto" w:fill="auto"/>
          </w:tcPr>
          <w:p w:rsidR="009F0BED" w:rsidRPr="00152C28" w:rsidRDefault="009F0BED" w:rsidP="00920311">
            <w:pPr>
              <w:jc w:val="both"/>
              <w:rPr>
                <w:color w:val="000000"/>
              </w:rPr>
            </w:pPr>
            <w:proofErr w:type="spellStart"/>
            <w:r w:rsidRPr="002F31A6">
              <w:rPr>
                <w:rFonts w:eastAsia="Calibri"/>
                <w:lang w:val="en-US" w:eastAsia="en-US"/>
              </w:rPr>
              <w:t>Ðanić</w:t>
            </w:r>
            <w:proofErr w:type="spellEnd"/>
            <w:r w:rsidRPr="002F31A6">
              <w:rPr>
                <w:rFonts w:eastAsia="Calibri"/>
                <w:lang w:val="en-US" w:eastAsia="en-US"/>
              </w:rPr>
              <w:t xml:space="preserve"> M, </w:t>
            </w:r>
            <w:proofErr w:type="spellStart"/>
            <w:r w:rsidRPr="002F31A6">
              <w:rPr>
                <w:rFonts w:eastAsia="Calibri"/>
                <w:lang w:val="en-US" w:eastAsia="en-US"/>
              </w:rPr>
              <w:t>Pavlović</w:t>
            </w:r>
            <w:proofErr w:type="spellEnd"/>
            <w:r w:rsidRPr="002F31A6">
              <w:rPr>
                <w:rFonts w:eastAsia="Calibri"/>
                <w:lang w:val="en-US" w:eastAsia="en-US"/>
              </w:rPr>
              <w:t xml:space="preserve"> N, </w:t>
            </w:r>
            <w:proofErr w:type="spellStart"/>
            <w:r w:rsidRPr="002F31A6">
              <w:rPr>
                <w:rFonts w:eastAsia="Calibri"/>
                <w:lang w:val="en-US" w:eastAsia="en-US"/>
              </w:rPr>
              <w:t>Lazarević</w:t>
            </w:r>
            <w:proofErr w:type="spellEnd"/>
            <w:r w:rsidRPr="002F31A6">
              <w:rPr>
                <w:rFonts w:eastAsia="Calibri"/>
                <w:lang w:val="en-US" w:eastAsia="en-US"/>
              </w:rPr>
              <w:t xml:space="preserve"> S</w:t>
            </w:r>
            <w:r>
              <w:rPr>
                <w:rFonts w:eastAsia="Calibri"/>
                <w:lang w:val="en-US" w:eastAsia="en-US"/>
              </w:rPr>
              <w:t>,</w:t>
            </w:r>
            <w:r w:rsidRPr="002F31A6">
              <w:rPr>
                <w:rFonts w:eastAsia="Calibri"/>
                <w:b/>
                <w:bCs/>
                <w:lang w:val="en-US" w:eastAsia="en-US"/>
              </w:rPr>
              <w:t xml:space="preserve">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Pr>
                <w:rFonts w:eastAsia="Calibri"/>
                <w:lang w:val="en-US" w:eastAsia="en-US"/>
              </w:rPr>
              <w:t>Vukmirović</w:t>
            </w:r>
            <w:proofErr w:type="spellEnd"/>
            <w:r>
              <w:rPr>
                <w:rFonts w:eastAsia="Calibri"/>
                <w:lang w:val="en-US" w:eastAsia="en-US"/>
              </w:rPr>
              <w:t xml:space="preserve"> S</w:t>
            </w:r>
            <w:r w:rsidRPr="002F31A6">
              <w:rPr>
                <w:rFonts w:eastAsia="Calibri"/>
                <w:lang w:val="en-US" w:eastAsia="en-US"/>
              </w:rPr>
              <w:t xml:space="preserve">, Al-Salami H, </w:t>
            </w:r>
            <w:r w:rsidR="00920311">
              <w:rPr>
                <w:rFonts w:eastAsia="Calibri"/>
                <w:lang w:val="en-US" w:eastAsia="en-US"/>
              </w:rPr>
              <w:t>et al</w:t>
            </w:r>
            <w:r w:rsidRPr="002F31A6">
              <w:rPr>
                <w:rFonts w:eastAsia="Calibri"/>
                <w:lang w:val="en-US" w:eastAsia="en-US"/>
              </w:rPr>
              <w:t xml:space="preserve">. </w:t>
            </w:r>
            <w:hyperlink r:id="rId6" w:history="1">
              <w:r w:rsidRPr="0095208F">
                <w:rPr>
                  <w:rStyle w:val="Hyperlink"/>
                </w:rPr>
                <w:t>Bioaccumulation and biotransformation of simvastatin in probiotic bacteria: a step towards better understanding of drug-bile acids-microbiome interactions</w:t>
              </w:r>
            </w:hyperlink>
            <w:r>
              <w:rPr>
                <w:color w:val="000000"/>
              </w:rPr>
              <w:t>.</w:t>
            </w:r>
            <w:r w:rsidRPr="002F31A6">
              <w:rPr>
                <w:color w:val="000000"/>
              </w:rPr>
              <w:t xml:space="preserve"> </w:t>
            </w:r>
            <w:r w:rsidRPr="002F31A6">
              <w:rPr>
                <w:rFonts w:eastAsia="Calibri"/>
                <w:lang w:val="en-US" w:eastAsia="en-US"/>
              </w:rPr>
              <w:t xml:space="preserve">Front </w:t>
            </w:r>
            <w:proofErr w:type="spellStart"/>
            <w:r w:rsidRPr="002F31A6">
              <w:rPr>
                <w:rFonts w:eastAsia="Calibri"/>
                <w:lang w:val="en-US" w:eastAsia="en-US"/>
              </w:rPr>
              <w:t>Pharmacol</w:t>
            </w:r>
            <w:proofErr w:type="spellEnd"/>
            <w:r w:rsidRPr="002F31A6">
              <w:rPr>
                <w:rFonts w:eastAsia="Calibri"/>
                <w:lang w:val="en-US" w:eastAsia="en-US"/>
              </w:rPr>
              <w:t>. 2023</w:t>
            </w:r>
            <w:proofErr w:type="gramStart"/>
            <w:r>
              <w:rPr>
                <w:rFonts w:eastAsia="Calibri"/>
                <w:lang w:val="en-US" w:eastAsia="en-US"/>
              </w:rPr>
              <w:t>;14</w:t>
            </w:r>
            <w:proofErr w:type="gramEnd"/>
            <w:r>
              <w:rPr>
                <w:rFonts w:eastAsia="Calibri"/>
                <w:lang w:val="en-US" w:eastAsia="en-US"/>
              </w:rPr>
              <w:t>.</w:t>
            </w:r>
          </w:p>
        </w:tc>
        <w:tc>
          <w:tcPr>
            <w:tcW w:w="496" w:type="pct"/>
            <w:gridSpan w:val="2"/>
            <w:vAlign w:val="center"/>
          </w:tcPr>
          <w:p w:rsidR="009F0BED" w:rsidRDefault="009F0BED" w:rsidP="009F0BED">
            <w:pPr>
              <w:jc w:val="center"/>
              <w:rPr>
                <w:color w:val="000000"/>
              </w:rPr>
            </w:pPr>
            <w:r w:rsidRPr="00B8654D">
              <w:rPr>
                <w:color w:val="000000"/>
              </w:rPr>
              <w:t>64/274</w:t>
            </w:r>
          </w:p>
        </w:tc>
        <w:tc>
          <w:tcPr>
            <w:tcW w:w="425" w:type="pct"/>
            <w:gridSpan w:val="2"/>
            <w:vAlign w:val="center"/>
          </w:tcPr>
          <w:p w:rsidR="009F0BED" w:rsidRPr="00B8654D" w:rsidRDefault="009F0BED" w:rsidP="009F0BED">
            <w:pPr>
              <w:jc w:val="center"/>
            </w:pPr>
            <w:r>
              <w:t>21</w:t>
            </w:r>
          </w:p>
        </w:tc>
        <w:tc>
          <w:tcPr>
            <w:tcW w:w="442" w:type="pct"/>
            <w:vAlign w:val="center"/>
          </w:tcPr>
          <w:p w:rsidR="009F0BED" w:rsidRDefault="009F0BED" w:rsidP="009F0BED">
            <w:pPr>
              <w:jc w:val="center"/>
            </w:pPr>
            <w:r w:rsidRPr="00B8654D">
              <w:t>4.4</w:t>
            </w:r>
          </w:p>
        </w:tc>
      </w:tr>
      <w:tr w:rsidR="009F0BED" w:rsidRPr="00AE1ED1" w:rsidTr="00AE6BFE">
        <w:trPr>
          <w:trHeight w:val="305"/>
          <w:jc w:val="center"/>
        </w:trPr>
        <w:tc>
          <w:tcPr>
            <w:tcW w:w="248" w:type="pct"/>
            <w:vAlign w:val="center"/>
          </w:tcPr>
          <w:p w:rsidR="009F0BED" w:rsidRPr="00310616" w:rsidRDefault="009F0BED" w:rsidP="009F0BED">
            <w:pPr>
              <w:jc w:val="center"/>
            </w:pPr>
            <w:r>
              <w:t>3</w:t>
            </w:r>
            <w:r w:rsidRPr="00310616">
              <w:t>.</w:t>
            </w:r>
          </w:p>
        </w:tc>
        <w:tc>
          <w:tcPr>
            <w:tcW w:w="3389" w:type="pct"/>
            <w:gridSpan w:val="7"/>
            <w:shd w:val="clear" w:color="auto" w:fill="auto"/>
          </w:tcPr>
          <w:p w:rsidR="009F0BED" w:rsidRPr="00CF68D9" w:rsidRDefault="009F0BED" w:rsidP="00920311">
            <w:pPr>
              <w:jc w:val="both"/>
              <w:rPr>
                <w:color w:val="000000"/>
                <w:highlight w:val="yellow"/>
              </w:rPr>
            </w:pPr>
            <w:proofErr w:type="spellStart"/>
            <w:r w:rsidRPr="002F31A6">
              <w:rPr>
                <w:rFonts w:eastAsia="Calibri"/>
                <w:lang w:val="en-US" w:eastAsia="en-US"/>
              </w:rPr>
              <w:t>Mikov</w:t>
            </w:r>
            <w:proofErr w:type="spellEnd"/>
            <w:r w:rsidRPr="002F31A6">
              <w:rPr>
                <w:rFonts w:eastAsia="Calibri"/>
                <w:lang w:val="en-US" w:eastAsia="en-US"/>
              </w:rPr>
              <w:t xml:space="preserve"> M, </w:t>
            </w:r>
            <w:proofErr w:type="spellStart"/>
            <w:r w:rsidRPr="002F31A6">
              <w:rPr>
                <w:rFonts w:eastAsia="Calibri"/>
                <w:lang w:val="en-US" w:eastAsia="en-US"/>
              </w:rPr>
              <w:t>Đanić</w:t>
            </w:r>
            <w:proofErr w:type="spellEnd"/>
            <w:r w:rsidRPr="002F31A6">
              <w:rPr>
                <w:rFonts w:eastAsia="Calibri"/>
                <w:lang w:val="en-US" w:eastAsia="en-US"/>
              </w:rPr>
              <w:t xml:space="preserve"> M, </w:t>
            </w:r>
            <w:proofErr w:type="spellStart"/>
            <w:r w:rsidRPr="002F31A6">
              <w:rPr>
                <w:rFonts w:eastAsia="Calibri"/>
                <w:lang w:val="en-US" w:eastAsia="en-US"/>
              </w:rPr>
              <w:t>Lazarević</w:t>
            </w:r>
            <w:proofErr w:type="spellEnd"/>
            <w:r w:rsidRPr="002F31A6">
              <w:rPr>
                <w:rFonts w:eastAsia="Calibri"/>
                <w:lang w:val="en-US" w:eastAsia="en-US"/>
              </w:rPr>
              <w:t xml:space="preserve"> S, </w:t>
            </w:r>
            <w:proofErr w:type="spellStart"/>
            <w:r w:rsidRPr="002F31A6">
              <w:rPr>
                <w:rFonts w:eastAsia="Calibri"/>
                <w:lang w:val="en-US" w:eastAsia="en-US"/>
              </w:rPr>
              <w:t>Pavlović</w:t>
            </w:r>
            <w:proofErr w:type="spellEnd"/>
            <w:r w:rsidRPr="002F31A6">
              <w:rPr>
                <w:rFonts w:eastAsia="Calibri"/>
                <w:lang w:val="en-US" w:eastAsia="en-US"/>
              </w:rPr>
              <w:t xml:space="preserve"> N, </w:t>
            </w:r>
            <w:r w:rsidRPr="00BB6803">
              <w:rPr>
                <w:rFonts w:eastAsia="Calibri"/>
                <w:b/>
                <w:bCs/>
                <w:lang w:val="en-US" w:eastAsia="en-US"/>
              </w:rPr>
              <w:t>Stanimirov B</w:t>
            </w:r>
            <w:r w:rsidRPr="002F31A6">
              <w:rPr>
                <w:rFonts w:eastAsia="Calibri"/>
                <w:lang w:val="en-US" w:eastAsia="en-US"/>
              </w:rPr>
              <w:t xml:space="preserve">, Al-Salami H, </w:t>
            </w:r>
            <w:r w:rsidR="00920311">
              <w:rPr>
                <w:rFonts w:eastAsia="Calibri"/>
                <w:lang w:val="en-US" w:eastAsia="en-US"/>
              </w:rPr>
              <w:t>et al</w:t>
            </w:r>
            <w:r w:rsidRPr="002F31A6">
              <w:rPr>
                <w:rFonts w:eastAsia="Calibri"/>
                <w:lang w:val="en-US" w:eastAsia="en-US"/>
              </w:rPr>
              <w:t xml:space="preserve">. </w:t>
            </w:r>
            <w:hyperlink r:id="rId7" w:history="1">
              <w:r w:rsidRPr="00B8654D">
                <w:rPr>
                  <w:rStyle w:val="Hyperlink"/>
                  <w:rFonts w:eastAsia="Calibri"/>
                  <w:lang w:val="en-US" w:eastAsia="en-US"/>
                </w:rPr>
                <w:t>Editorial: Pharmacokinetic evaluation and modeling of clinically significant drug metabolites, Volume II</w:t>
              </w:r>
            </w:hyperlink>
            <w:r w:rsidRPr="002F31A6">
              <w:rPr>
                <w:rFonts w:eastAsia="Calibri"/>
                <w:lang w:val="en-US" w:eastAsia="en-US"/>
              </w:rPr>
              <w:t xml:space="preserve">. Front </w:t>
            </w:r>
            <w:proofErr w:type="spellStart"/>
            <w:r w:rsidRPr="002F31A6">
              <w:rPr>
                <w:rFonts w:eastAsia="Calibri"/>
                <w:lang w:val="en-US" w:eastAsia="en-US"/>
              </w:rPr>
              <w:t>Pharmacol</w:t>
            </w:r>
            <w:proofErr w:type="spellEnd"/>
            <w:r w:rsidRPr="002F31A6">
              <w:rPr>
                <w:rFonts w:eastAsia="Calibri"/>
                <w:lang w:val="en-US" w:eastAsia="en-US"/>
              </w:rPr>
              <w:t>. 2023</w:t>
            </w:r>
            <w:proofErr w:type="gramStart"/>
            <w:r w:rsidRPr="002F31A6">
              <w:rPr>
                <w:rFonts w:eastAsia="Calibri"/>
                <w:lang w:val="en-US" w:eastAsia="en-US"/>
              </w:rPr>
              <w:t>;13:1087988</w:t>
            </w:r>
            <w:proofErr w:type="gramEnd"/>
            <w:r w:rsidRPr="002F31A6">
              <w:rPr>
                <w:rFonts w:eastAsia="Calibri"/>
                <w:lang w:val="en-US" w:eastAsia="en-US"/>
              </w:rPr>
              <w:t>.</w:t>
            </w:r>
          </w:p>
        </w:tc>
        <w:tc>
          <w:tcPr>
            <w:tcW w:w="496" w:type="pct"/>
            <w:gridSpan w:val="2"/>
            <w:vAlign w:val="center"/>
          </w:tcPr>
          <w:p w:rsidR="009F0BED" w:rsidRPr="00CF68D9" w:rsidRDefault="009F0BED" w:rsidP="009F0BED">
            <w:pPr>
              <w:jc w:val="center"/>
              <w:rPr>
                <w:color w:val="000000"/>
                <w:highlight w:val="yellow"/>
              </w:rPr>
            </w:pPr>
            <w:r w:rsidRPr="00B8654D">
              <w:rPr>
                <w:color w:val="000000"/>
              </w:rPr>
              <w:t>64/274</w:t>
            </w:r>
          </w:p>
        </w:tc>
        <w:tc>
          <w:tcPr>
            <w:tcW w:w="425" w:type="pct"/>
            <w:gridSpan w:val="2"/>
            <w:vAlign w:val="center"/>
          </w:tcPr>
          <w:p w:rsidR="009F0BED" w:rsidRPr="00B8654D" w:rsidRDefault="009F0BED" w:rsidP="009F0BED">
            <w:pPr>
              <w:jc w:val="center"/>
              <w:rPr>
                <w:color w:val="000000"/>
              </w:rPr>
            </w:pPr>
            <w:r>
              <w:rPr>
                <w:color w:val="000000"/>
              </w:rPr>
              <w:t>21</w:t>
            </w:r>
          </w:p>
        </w:tc>
        <w:tc>
          <w:tcPr>
            <w:tcW w:w="442" w:type="pct"/>
            <w:vAlign w:val="center"/>
          </w:tcPr>
          <w:p w:rsidR="009F0BED" w:rsidRPr="00CF68D9" w:rsidRDefault="009F0BED" w:rsidP="009F0BED">
            <w:pPr>
              <w:jc w:val="center"/>
              <w:rPr>
                <w:color w:val="000000"/>
                <w:highlight w:val="yellow"/>
              </w:rPr>
            </w:pPr>
            <w:r w:rsidRPr="00B8654D">
              <w:t>4.4</w:t>
            </w:r>
          </w:p>
        </w:tc>
      </w:tr>
      <w:tr w:rsidR="009F0BED" w:rsidRPr="00AE1ED1" w:rsidTr="00AE6BFE">
        <w:trPr>
          <w:trHeight w:val="305"/>
          <w:jc w:val="center"/>
        </w:trPr>
        <w:tc>
          <w:tcPr>
            <w:tcW w:w="248" w:type="pct"/>
            <w:vAlign w:val="center"/>
          </w:tcPr>
          <w:p w:rsidR="009F0BED" w:rsidRPr="00BC007D" w:rsidRDefault="00AC5DA4" w:rsidP="009F0BED">
            <w:pPr>
              <w:jc w:val="center"/>
              <w:rPr>
                <w:lang w:val="en-US"/>
              </w:rPr>
            </w:pPr>
            <w:r>
              <w:rPr>
                <w:lang w:val="en-US"/>
              </w:rPr>
              <w:t>4</w:t>
            </w:r>
            <w:r w:rsidR="009F0BED">
              <w:rPr>
                <w:lang w:val="en-US"/>
              </w:rPr>
              <w:t>.</w:t>
            </w:r>
          </w:p>
        </w:tc>
        <w:tc>
          <w:tcPr>
            <w:tcW w:w="3389" w:type="pct"/>
            <w:gridSpan w:val="7"/>
            <w:shd w:val="clear" w:color="auto" w:fill="auto"/>
          </w:tcPr>
          <w:p w:rsidR="009F0BED" w:rsidRPr="00CF68D9" w:rsidRDefault="00920311" w:rsidP="00920311">
            <w:pPr>
              <w:jc w:val="both"/>
              <w:rPr>
                <w:color w:val="333333"/>
                <w:highlight w:val="yellow"/>
              </w:rPr>
            </w:pPr>
            <w:r>
              <w:rPr>
                <w:rFonts w:eastAsia="Calibri"/>
                <w:lang w:val="en-US" w:eastAsia="en-US"/>
              </w:rPr>
              <w:t xml:space="preserve">Pavlović N, </w:t>
            </w:r>
            <w:proofErr w:type="spellStart"/>
            <w:r>
              <w:rPr>
                <w:rFonts w:eastAsia="Calibri"/>
                <w:lang w:val="en-US" w:eastAsia="en-US"/>
              </w:rPr>
              <w:t>Milošević</w:t>
            </w:r>
            <w:proofErr w:type="spellEnd"/>
            <w:r>
              <w:rPr>
                <w:rFonts w:eastAsia="Calibri"/>
                <w:lang w:val="en-US" w:eastAsia="en-US"/>
              </w:rPr>
              <w:t xml:space="preserve"> N, </w:t>
            </w:r>
            <w:proofErr w:type="spellStart"/>
            <w:r>
              <w:rPr>
                <w:rFonts w:eastAsia="Calibri"/>
                <w:lang w:val="en-US" w:eastAsia="en-US"/>
              </w:rPr>
              <w:t>Đ</w:t>
            </w:r>
            <w:r w:rsidR="009F0BED" w:rsidRPr="002F31A6">
              <w:rPr>
                <w:rFonts w:eastAsia="Calibri"/>
                <w:lang w:val="en-US" w:eastAsia="en-US"/>
              </w:rPr>
              <w:t>anić</w:t>
            </w:r>
            <w:proofErr w:type="spellEnd"/>
            <w:r w:rsidR="009F0BED" w:rsidRPr="002F31A6">
              <w:rPr>
                <w:rFonts w:eastAsia="Calibri"/>
                <w:lang w:val="en-US" w:eastAsia="en-US"/>
              </w:rPr>
              <w:t xml:space="preserve"> M, </w:t>
            </w:r>
            <w:proofErr w:type="spellStart"/>
            <w:r w:rsidR="009F0BED" w:rsidRPr="002F31A6">
              <w:rPr>
                <w:rFonts w:eastAsia="Calibri"/>
                <w:lang w:val="en-US" w:eastAsia="en-US"/>
              </w:rPr>
              <w:t>Goločorbin-Kon</w:t>
            </w:r>
            <w:proofErr w:type="spellEnd"/>
            <w:r w:rsidR="009F0BED" w:rsidRPr="002F31A6">
              <w:rPr>
                <w:rFonts w:eastAsia="Calibri"/>
                <w:lang w:val="en-US" w:eastAsia="en-US"/>
              </w:rPr>
              <w:t xml:space="preserve"> S, </w:t>
            </w:r>
            <w:r w:rsidR="009F0BED" w:rsidRPr="002F31A6">
              <w:rPr>
                <w:rFonts w:eastAsia="Calibri"/>
                <w:b/>
                <w:bCs/>
                <w:lang w:val="en-US" w:eastAsia="en-US"/>
              </w:rPr>
              <w:t>Stanimirov B</w:t>
            </w:r>
            <w:r w:rsidR="009F0BED" w:rsidRPr="002F31A6">
              <w:rPr>
                <w:rFonts w:eastAsia="Calibri"/>
                <w:lang w:val="en-US" w:eastAsia="en-US"/>
              </w:rPr>
              <w:t xml:space="preserve">, </w:t>
            </w:r>
            <w:proofErr w:type="spellStart"/>
            <w:r w:rsidR="009F0BED" w:rsidRPr="002F31A6">
              <w:rPr>
                <w:rFonts w:eastAsia="Calibri"/>
                <w:lang w:val="en-US" w:eastAsia="en-US"/>
              </w:rPr>
              <w:t>Stankov</w:t>
            </w:r>
            <w:proofErr w:type="spellEnd"/>
            <w:r w:rsidR="009F0BED" w:rsidRPr="002F31A6">
              <w:rPr>
                <w:rFonts w:eastAsia="Calibri"/>
                <w:lang w:val="en-US" w:eastAsia="en-US"/>
              </w:rPr>
              <w:t xml:space="preserve"> K, </w:t>
            </w:r>
            <w:r>
              <w:rPr>
                <w:rFonts w:eastAsia="Calibri"/>
                <w:lang w:val="en-US" w:eastAsia="en-US"/>
              </w:rPr>
              <w:t>et al</w:t>
            </w:r>
            <w:r w:rsidR="009F0BED" w:rsidRPr="002F31A6">
              <w:rPr>
                <w:rFonts w:eastAsia="Calibri"/>
                <w:lang w:val="en-US" w:eastAsia="en-US"/>
              </w:rPr>
              <w:t xml:space="preserve">. </w:t>
            </w:r>
            <w:hyperlink r:id="rId8" w:history="1">
              <w:r w:rsidR="009F0BED" w:rsidRPr="000847C0">
                <w:rPr>
                  <w:rStyle w:val="Hyperlink"/>
                  <w:rFonts w:eastAsia="Calibri"/>
                  <w:lang w:val="en-US" w:eastAsia="en-US"/>
                </w:rPr>
                <w:t>Antimetastatic Potential of Quercetin Analogues with Improved Pharmacokinetic Profile: Pharmacoinformatic Preliminary Study</w:t>
              </w:r>
            </w:hyperlink>
            <w:r w:rsidR="009F0BED" w:rsidRPr="002F31A6">
              <w:rPr>
                <w:rFonts w:eastAsia="Calibri"/>
                <w:lang w:val="en-US" w:eastAsia="en-US"/>
              </w:rPr>
              <w:t>. Anti</w:t>
            </w:r>
            <w:r w:rsidR="009F0BED">
              <w:rPr>
                <w:rFonts w:eastAsia="Calibri"/>
                <w:lang w:val="en-US" w:eastAsia="en-US"/>
              </w:rPr>
              <w:t>-</w:t>
            </w:r>
            <w:r w:rsidR="009F0BED" w:rsidRPr="002F31A6">
              <w:rPr>
                <w:rFonts w:eastAsia="Calibri"/>
                <w:lang w:val="en-US" w:eastAsia="en-US"/>
              </w:rPr>
              <w:t>cancer Agents Med Chem. 202</w:t>
            </w:r>
            <w:r w:rsidR="009F0BED">
              <w:rPr>
                <w:rFonts w:eastAsia="Calibri"/>
                <w:lang w:val="en-US" w:eastAsia="en-US"/>
              </w:rPr>
              <w:t>2</w:t>
            </w:r>
            <w:proofErr w:type="gramStart"/>
            <w:r w:rsidR="009F0BED">
              <w:rPr>
                <w:rFonts w:eastAsia="Calibri"/>
                <w:lang w:val="en-US" w:eastAsia="en-US"/>
              </w:rPr>
              <w:t>;22</w:t>
            </w:r>
            <w:proofErr w:type="gramEnd"/>
            <w:r w:rsidR="009F0BED">
              <w:rPr>
                <w:rFonts w:eastAsia="Calibri"/>
                <w:lang w:val="en-US" w:eastAsia="en-US"/>
              </w:rPr>
              <w:t>(7):1404-13.</w:t>
            </w:r>
          </w:p>
        </w:tc>
        <w:tc>
          <w:tcPr>
            <w:tcW w:w="496" w:type="pct"/>
            <w:gridSpan w:val="2"/>
            <w:vAlign w:val="center"/>
          </w:tcPr>
          <w:p w:rsidR="009F0BED" w:rsidRPr="00CF68D9" w:rsidRDefault="009F0BED" w:rsidP="009F0BED">
            <w:pPr>
              <w:jc w:val="center"/>
              <w:rPr>
                <w:highlight w:val="yellow"/>
              </w:rPr>
            </w:pPr>
            <w:r>
              <w:rPr>
                <w:color w:val="000000"/>
              </w:rPr>
              <w:t>40/60</w:t>
            </w:r>
          </w:p>
        </w:tc>
        <w:tc>
          <w:tcPr>
            <w:tcW w:w="425" w:type="pct"/>
            <w:gridSpan w:val="2"/>
            <w:vAlign w:val="center"/>
          </w:tcPr>
          <w:p w:rsidR="009F0BED" w:rsidRPr="00CF68D9" w:rsidRDefault="009F0BED" w:rsidP="009F0BED">
            <w:pPr>
              <w:jc w:val="center"/>
              <w:rPr>
                <w:highlight w:val="yellow"/>
              </w:rPr>
            </w:pPr>
            <w:r>
              <w:t>23</w:t>
            </w:r>
          </w:p>
        </w:tc>
        <w:tc>
          <w:tcPr>
            <w:tcW w:w="442" w:type="pct"/>
            <w:vAlign w:val="center"/>
          </w:tcPr>
          <w:p w:rsidR="009F0BED" w:rsidRPr="00CF68D9" w:rsidRDefault="009F0BED" w:rsidP="009F0BED">
            <w:pPr>
              <w:jc w:val="center"/>
              <w:rPr>
                <w:highlight w:val="yellow"/>
              </w:rPr>
            </w:pPr>
            <w:r>
              <w:t>2.8</w:t>
            </w:r>
          </w:p>
        </w:tc>
      </w:tr>
      <w:tr w:rsidR="009F0BED" w:rsidRPr="00AE1ED1" w:rsidTr="00AE6BFE">
        <w:trPr>
          <w:trHeight w:val="305"/>
          <w:jc w:val="center"/>
        </w:trPr>
        <w:tc>
          <w:tcPr>
            <w:tcW w:w="248" w:type="pct"/>
            <w:vAlign w:val="center"/>
          </w:tcPr>
          <w:p w:rsidR="009F0BED" w:rsidRDefault="00AC5DA4" w:rsidP="009F0BED">
            <w:pPr>
              <w:jc w:val="center"/>
              <w:rPr>
                <w:lang w:val="en-US"/>
              </w:rPr>
            </w:pPr>
            <w:r>
              <w:rPr>
                <w:lang w:val="en-US"/>
              </w:rPr>
              <w:t>5</w:t>
            </w:r>
            <w:r w:rsidR="009F0BED">
              <w:rPr>
                <w:lang w:val="en-US"/>
              </w:rPr>
              <w:t>.</w:t>
            </w:r>
          </w:p>
        </w:tc>
        <w:tc>
          <w:tcPr>
            <w:tcW w:w="3389" w:type="pct"/>
            <w:gridSpan w:val="7"/>
            <w:shd w:val="clear" w:color="auto" w:fill="auto"/>
          </w:tcPr>
          <w:p w:rsidR="009F0BED" w:rsidRPr="002F31A6" w:rsidRDefault="009F0BED" w:rsidP="00920311">
            <w:pPr>
              <w:jc w:val="both"/>
              <w:rPr>
                <w:rFonts w:eastAsia="Calibri"/>
                <w:lang w:val="en-US" w:eastAsia="en-US"/>
              </w:rPr>
            </w:pPr>
            <w:proofErr w:type="spellStart"/>
            <w:r w:rsidRPr="002F31A6">
              <w:rPr>
                <w:rFonts w:eastAsia="Calibri"/>
                <w:lang w:val="en-US" w:eastAsia="en-US"/>
              </w:rPr>
              <w:t>Ðanić</w:t>
            </w:r>
            <w:proofErr w:type="spellEnd"/>
            <w:r w:rsidRPr="002F31A6">
              <w:rPr>
                <w:rFonts w:eastAsia="Calibri"/>
                <w:lang w:val="en-US" w:eastAsia="en-US"/>
              </w:rPr>
              <w:t xml:space="preserve"> M, </w:t>
            </w:r>
            <w:proofErr w:type="spellStart"/>
            <w:r w:rsidRPr="002F31A6">
              <w:rPr>
                <w:rFonts w:eastAsia="Calibri"/>
                <w:lang w:val="en-US" w:eastAsia="en-US"/>
              </w:rPr>
              <w:t>Pavlović</w:t>
            </w:r>
            <w:proofErr w:type="spellEnd"/>
            <w:r w:rsidRPr="002F31A6">
              <w:rPr>
                <w:rFonts w:eastAsia="Calibri"/>
                <w:lang w:val="en-US" w:eastAsia="en-US"/>
              </w:rPr>
              <w:t xml:space="preserve"> N,</w:t>
            </w:r>
            <w:r w:rsidRPr="002F31A6">
              <w:rPr>
                <w:rFonts w:eastAsia="Calibri"/>
                <w:b/>
                <w:bCs/>
                <w:lang w:val="en-US" w:eastAsia="en-US"/>
              </w:rPr>
              <w:t xml:space="preserve">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Lazarević</w:t>
            </w:r>
            <w:proofErr w:type="spellEnd"/>
            <w:r w:rsidRPr="002F31A6">
              <w:rPr>
                <w:rFonts w:eastAsia="Calibri"/>
                <w:lang w:val="en-US" w:eastAsia="en-US"/>
              </w:rPr>
              <w:t xml:space="preserve"> S, </w:t>
            </w:r>
            <w:proofErr w:type="spellStart"/>
            <w:r w:rsidRPr="002F31A6">
              <w:rPr>
                <w:rFonts w:eastAsia="Calibri"/>
                <w:lang w:val="en-US" w:eastAsia="en-US"/>
              </w:rPr>
              <w:t>Vukmirović</w:t>
            </w:r>
            <w:proofErr w:type="spellEnd"/>
            <w:r w:rsidRPr="002F31A6">
              <w:rPr>
                <w:rFonts w:eastAsia="Calibri"/>
                <w:lang w:val="en-US" w:eastAsia="en-US"/>
              </w:rPr>
              <w:t xml:space="preserve"> S, Al-Salami H, </w:t>
            </w:r>
            <w:r w:rsidR="00920311">
              <w:rPr>
                <w:rFonts w:eastAsia="Calibri"/>
                <w:lang w:val="en-US" w:eastAsia="en-US"/>
              </w:rPr>
              <w:t>et al</w:t>
            </w:r>
            <w:r w:rsidRPr="002F31A6">
              <w:rPr>
                <w:rFonts w:eastAsia="Calibri"/>
                <w:lang w:val="en-US" w:eastAsia="en-US"/>
              </w:rPr>
              <w:t xml:space="preserve">. </w:t>
            </w:r>
            <w:hyperlink r:id="rId9" w:history="1">
              <w:r w:rsidRPr="00056B29">
                <w:rPr>
                  <w:rStyle w:val="Hyperlink"/>
                  <w:rFonts w:eastAsia="Calibri"/>
                  <w:lang w:val="en-US" w:eastAsia="en-US"/>
                </w:rPr>
                <w:t>PAMPA model of gliclazide permeability: The impact of probiotic bacteria and bile acids</w:t>
              </w:r>
            </w:hyperlink>
            <w:r w:rsidRPr="002F31A6">
              <w:rPr>
                <w:rFonts w:eastAsia="Calibri"/>
                <w:lang w:val="en-US" w:eastAsia="en-US"/>
              </w:rPr>
              <w:t>. Eur J Pharm Sci. 2021.</w:t>
            </w:r>
          </w:p>
        </w:tc>
        <w:tc>
          <w:tcPr>
            <w:tcW w:w="496" w:type="pct"/>
            <w:gridSpan w:val="2"/>
            <w:vAlign w:val="center"/>
          </w:tcPr>
          <w:p w:rsidR="009F0BED" w:rsidRDefault="009F0BED" w:rsidP="009F0BED">
            <w:pPr>
              <w:jc w:val="center"/>
            </w:pPr>
            <w:r w:rsidRPr="002F31A6">
              <w:t>74/279</w:t>
            </w:r>
          </w:p>
        </w:tc>
        <w:tc>
          <w:tcPr>
            <w:tcW w:w="425" w:type="pct"/>
            <w:gridSpan w:val="2"/>
            <w:vAlign w:val="center"/>
          </w:tcPr>
          <w:p w:rsidR="009F0BED" w:rsidRDefault="009F0BED" w:rsidP="009F0BED">
            <w:pPr>
              <w:jc w:val="center"/>
              <w:rPr>
                <w:color w:val="000000"/>
                <w:lang w:val="en-US"/>
              </w:rPr>
            </w:pPr>
            <w:r>
              <w:t>21</w:t>
            </w:r>
          </w:p>
        </w:tc>
        <w:tc>
          <w:tcPr>
            <w:tcW w:w="442" w:type="pct"/>
            <w:vAlign w:val="center"/>
          </w:tcPr>
          <w:p w:rsidR="009F0BED" w:rsidRDefault="009F0BED" w:rsidP="009F0BED">
            <w:pPr>
              <w:jc w:val="center"/>
            </w:pPr>
            <w:r w:rsidRPr="002F31A6">
              <w:t>5.112</w:t>
            </w:r>
          </w:p>
        </w:tc>
      </w:tr>
      <w:tr w:rsidR="009F0BED" w:rsidRPr="00AE1ED1" w:rsidTr="00AE6BFE">
        <w:trPr>
          <w:trHeight w:val="305"/>
          <w:jc w:val="center"/>
        </w:trPr>
        <w:tc>
          <w:tcPr>
            <w:tcW w:w="248" w:type="pct"/>
            <w:vAlign w:val="center"/>
          </w:tcPr>
          <w:p w:rsidR="009F0BED" w:rsidRPr="00BC007D" w:rsidRDefault="00AC5DA4" w:rsidP="009F0BED">
            <w:pPr>
              <w:jc w:val="center"/>
              <w:rPr>
                <w:lang w:val="en-US"/>
              </w:rPr>
            </w:pPr>
            <w:r>
              <w:rPr>
                <w:lang w:val="en-US"/>
              </w:rPr>
              <w:t>6</w:t>
            </w:r>
            <w:r w:rsidR="009F0BED" w:rsidRPr="00BC007D">
              <w:rPr>
                <w:lang w:val="en-US"/>
              </w:rPr>
              <w:t>.</w:t>
            </w:r>
          </w:p>
        </w:tc>
        <w:tc>
          <w:tcPr>
            <w:tcW w:w="3389" w:type="pct"/>
            <w:gridSpan w:val="7"/>
            <w:shd w:val="clear" w:color="auto" w:fill="auto"/>
          </w:tcPr>
          <w:p w:rsidR="009F0BED" w:rsidRPr="00CF68D9" w:rsidRDefault="009F0BED" w:rsidP="00920311">
            <w:pPr>
              <w:jc w:val="both"/>
              <w:rPr>
                <w:color w:val="000000"/>
                <w:highlight w:val="yellow"/>
                <w:lang w:val="en-US"/>
              </w:rPr>
            </w:pPr>
            <w:proofErr w:type="spellStart"/>
            <w:r w:rsidRPr="002F31A6">
              <w:rPr>
                <w:rFonts w:eastAsia="Calibri"/>
                <w:lang w:val="en-US" w:eastAsia="en-US"/>
              </w:rPr>
              <w:t>Mikov</w:t>
            </w:r>
            <w:proofErr w:type="spellEnd"/>
            <w:r w:rsidRPr="002F31A6">
              <w:rPr>
                <w:rFonts w:eastAsia="Calibri"/>
                <w:lang w:val="en-US" w:eastAsia="en-US"/>
              </w:rPr>
              <w:t xml:space="preserve"> M, </w:t>
            </w:r>
            <w:proofErr w:type="spellStart"/>
            <w:r w:rsidRPr="002F31A6">
              <w:rPr>
                <w:rFonts w:eastAsia="Calibri"/>
                <w:lang w:val="en-US" w:eastAsia="en-US"/>
              </w:rPr>
              <w:t>Pavlović</w:t>
            </w:r>
            <w:proofErr w:type="spellEnd"/>
            <w:r w:rsidRPr="002F31A6">
              <w:rPr>
                <w:rFonts w:eastAsia="Calibri"/>
                <w:lang w:val="en-US" w:eastAsia="en-US"/>
              </w:rPr>
              <w:t xml:space="preserve"> N, </w:t>
            </w:r>
            <w:r w:rsidRPr="002F31A6">
              <w:rPr>
                <w:rFonts w:eastAsia="Calibri"/>
                <w:b/>
                <w:bCs/>
                <w:lang w:val="en-US" w:eastAsia="en-US"/>
              </w:rPr>
              <w:t>Stanimirov B</w:t>
            </w:r>
            <w:r w:rsidRPr="002F31A6">
              <w:rPr>
                <w:rFonts w:eastAsia="Calibri"/>
                <w:lang w:val="en-US" w:eastAsia="en-US"/>
              </w:rPr>
              <w:t xml:space="preserve">, </w:t>
            </w:r>
            <w:proofErr w:type="spellStart"/>
            <w:r w:rsidRPr="002F31A6">
              <w:rPr>
                <w:rFonts w:eastAsia="Calibri"/>
                <w:lang w:val="en-US" w:eastAsia="en-US"/>
              </w:rPr>
              <w:t>Đanić</w:t>
            </w:r>
            <w:proofErr w:type="spellEnd"/>
            <w:r w:rsidRPr="002F31A6">
              <w:rPr>
                <w:rFonts w:eastAsia="Calibri"/>
                <w:lang w:val="en-US" w:eastAsia="en-US"/>
              </w:rPr>
              <w:t xml:space="preserve"> M, </w:t>
            </w:r>
            <w:proofErr w:type="spellStart"/>
            <w:r w:rsidRPr="002F31A6">
              <w:rPr>
                <w:rFonts w:eastAsia="Calibri"/>
                <w:lang w:val="en-US" w:eastAsia="en-US"/>
              </w:rPr>
              <w:t>Goločorbin-Kon</w:t>
            </w:r>
            <w:proofErr w:type="spellEnd"/>
            <w:r w:rsidRPr="002F31A6">
              <w:rPr>
                <w:rFonts w:eastAsia="Calibri"/>
                <w:lang w:val="en-US" w:eastAsia="en-US"/>
              </w:rPr>
              <w:t xml:space="preserve"> S, </w:t>
            </w:r>
            <w:proofErr w:type="spellStart"/>
            <w:r w:rsidRPr="002F31A6">
              <w:rPr>
                <w:rFonts w:eastAsia="Calibri"/>
                <w:lang w:val="en-US" w:eastAsia="en-US"/>
              </w:rPr>
              <w:t>Stankov</w:t>
            </w:r>
            <w:proofErr w:type="spellEnd"/>
            <w:r w:rsidRPr="002F31A6">
              <w:rPr>
                <w:rFonts w:eastAsia="Calibri"/>
                <w:lang w:val="en-US" w:eastAsia="en-US"/>
              </w:rPr>
              <w:t xml:space="preserve"> K, </w:t>
            </w:r>
            <w:r w:rsidR="00920311">
              <w:rPr>
                <w:rFonts w:eastAsia="Calibri"/>
                <w:lang w:val="en-US" w:eastAsia="en-US"/>
              </w:rPr>
              <w:t>et al</w:t>
            </w:r>
            <w:r w:rsidRPr="002F31A6">
              <w:rPr>
                <w:rFonts w:eastAsia="Calibri"/>
                <w:lang w:val="en-US" w:eastAsia="en-US"/>
              </w:rPr>
              <w:t xml:space="preserve">. </w:t>
            </w:r>
            <w:hyperlink r:id="rId10" w:history="1">
              <w:r w:rsidRPr="000847C0">
                <w:rPr>
                  <w:rStyle w:val="Hyperlink"/>
                  <w:rFonts w:eastAsia="Calibri"/>
                  <w:lang w:val="en-US" w:eastAsia="en-US"/>
                </w:rPr>
                <w:t xml:space="preserve">DPP-4 Inhibitors: </w:t>
              </w:r>
              <w:proofErr w:type="spellStart"/>
              <w:r w:rsidRPr="000847C0">
                <w:rPr>
                  <w:rStyle w:val="Hyperlink"/>
                  <w:rFonts w:eastAsia="Calibri"/>
                  <w:lang w:val="en-US" w:eastAsia="en-US"/>
                </w:rPr>
                <w:t>Renoprotective</w:t>
              </w:r>
              <w:proofErr w:type="spellEnd"/>
              <w:r w:rsidRPr="000847C0">
                <w:rPr>
                  <w:rStyle w:val="Hyperlink"/>
                  <w:rFonts w:eastAsia="Calibri"/>
                  <w:lang w:val="en-US" w:eastAsia="en-US"/>
                </w:rPr>
                <w:t xml:space="preserve"> Potential and Pharmacokinetics in Type 2 Diabetes Mellitus Patients with Renal Impairment</w:t>
              </w:r>
            </w:hyperlink>
            <w:r w:rsidRPr="002F31A6">
              <w:rPr>
                <w:rFonts w:eastAsia="Calibri"/>
                <w:lang w:val="en-US" w:eastAsia="en-US"/>
              </w:rPr>
              <w:t xml:space="preserve">. </w:t>
            </w:r>
            <w:proofErr w:type="spellStart"/>
            <w:r w:rsidRPr="002F31A6">
              <w:rPr>
                <w:rFonts w:eastAsia="Calibri"/>
                <w:lang w:val="en-US" w:eastAsia="en-US"/>
              </w:rPr>
              <w:t>Eur</w:t>
            </w:r>
            <w:proofErr w:type="spellEnd"/>
            <w:r w:rsidRPr="002F31A6">
              <w:rPr>
                <w:rFonts w:eastAsia="Calibri"/>
                <w:lang w:val="en-US" w:eastAsia="en-US"/>
              </w:rPr>
              <w:t xml:space="preserve"> J Drug </w:t>
            </w:r>
            <w:proofErr w:type="spellStart"/>
            <w:r w:rsidRPr="002F31A6">
              <w:rPr>
                <w:rFonts w:eastAsia="Calibri"/>
                <w:lang w:val="en-US" w:eastAsia="en-US"/>
              </w:rPr>
              <w:t>Metab</w:t>
            </w:r>
            <w:proofErr w:type="spellEnd"/>
            <w:r w:rsidRPr="002F31A6">
              <w:rPr>
                <w:rFonts w:eastAsia="Calibri"/>
                <w:lang w:val="en-US" w:eastAsia="en-US"/>
              </w:rPr>
              <w:t xml:space="preserve"> </w:t>
            </w:r>
            <w:proofErr w:type="spellStart"/>
            <w:r w:rsidRPr="002F31A6">
              <w:rPr>
                <w:rFonts w:eastAsia="Calibri"/>
                <w:lang w:val="en-US" w:eastAsia="en-US"/>
              </w:rPr>
              <w:t>Pharmacokinet</w:t>
            </w:r>
            <w:proofErr w:type="spellEnd"/>
            <w:r w:rsidRPr="002F31A6">
              <w:rPr>
                <w:rFonts w:eastAsia="Calibri"/>
                <w:lang w:val="en-US" w:eastAsia="en-US"/>
              </w:rPr>
              <w:t>. 202</w:t>
            </w:r>
            <w:r>
              <w:rPr>
                <w:rFonts w:eastAsia="Calibri"/>
                <w:lang w:val="en-US" w:eastAsia="en-US"/>
              </w:rPr>
              <w:t>0</w:t>
            </w:r>
            <w:r w:rsidRPr="002F31A6">
              <w:rPr>
                <w:rFonts w:eastAsia="Calibri"/>
                <w:lang w:val="en-US" w:eastAsia="en-US"/>
              </w:rPr>
              <w:t>;45(1):1-14.</w:t>
            </w:r>
          </w:p>
        </w:tc>
        <w:tc>
          <w:tcPr>
            <w:tcW w:w="496" w:type="pct"/>
            <w:gridSpan w:val="2"/>
            <w:vAlign w:val="center"/>
          </w:tcPr>
          <w:p w:rsidR="009F0BED" w:rsidRPr="00CF68D9" w:rsidRDefault="009F0BED" w:rsidP="009F0BED">
            <w:pPr>
              <w:jc w:val="center"/>
              <w:rPr>
                <w:color w:val="000000"/>
                <w:highlight w:val="yellow"/>
                <w:lang w:val="en-US"/>
              </w:rPr>
            </w:pPr>
            <w:r>
              <w:t>201/276</w:t>
            </w:r>
          </w:p>
        </w:tc>
        <w:tc>
          <w:tcPr>
            <w:tcW w:w="425" w:type="pct"/>
            <w:gridSpan w:val="2"/>
            <w:vAlign w:val="center"/>
          </w:tcPr>
          <w:p w:rsidR="009F0BED" w:rsidRPr="00CF68D9" w:rsidRDefault="009F0BED" w:rsidP="009F0BED">
            <w:pPr>
              <w:jc w:val="center"/>
              <w:rPr>
                <w:color w:val="000000"/>
                <w:highlight w:val="yellow"/>
                <w:lang w:val="en-US"/>
              </w:rPr>
            </w:pPr>
            <w:r>
              <w:rPr>
                <w:color w:val="000000"/>
                <w:lang w:val="en-US"/>
              </w:rPr>
              <w:t>23</w:t>
            </w:r>
          </w:p>
        </w:tc>
        <w:tc>
          <w:tcPr>
            <w:tcW w:w="442" w:type="pct"/>
            <w:vAlign w:val="center"/>
          </w:tcPr>
          <w:p w:rsidR="009F0BED" w:rsidRPr="00CF68D9" w:rsidRDefault="009F0BED" w:rsidP="009F0BED">
            <w:pPr>
              <w:jc w:val="center"/>
              <w:rPr>
                <w:color w:val="000000"/>
                <w:highlight w:val="yellow"/>
                <w:lang w:val="en-US"/>
              </w:rPr>
            </w:pPr>
            <w:r>
              <w:t>2.448</w:t>
            </w:r>
          </w:p>
        </w:tc>
      </w:tr>
      <w:tr w:rsidR="009F0BED" w:rsidRPr="00AE1ED1" w:rsidTr="00AE6BFE">
        <w:trPr>
          <w:trHeight w:val="305"/>
          <w:jc w:val="center"/>
        </w:trPr>
        <w:tc>
          <w:tcPr>
            <w:tcW w:w="248" w:type="pct"/>
            <w:vAlign w:val="center"/>
          </w:tcPr>
          <w:p w:rsidR="009F0BED" w:rsidRPr="00BC007D" w:rsidRDefault="00AC5DA4" w:rsidP="009F0BED">
            <w:pPr>
              <w:jc w:val="center"/>
              <w:rPr>
                <w:lang w:val="en-US"/>
              </w:rPr>
            </w:pPr>
            <w:r>
              <w:rPr>
                <w:lang w:val="en-US"/>
              </w:rPr>
              <w:t>7</w:t>
            </w:r>
            <w:r w:rsidR="009F0BED" w:rsidRPr="00BC007D">
              <w:rPr>
                <w:lang w:val="en-US"/>
              </w:rPr>
              <w:t>.</w:t>
            </w:r>
          </w:p>
        </w:tc>
        <w:tc>
          <w:tcPr>
            <w:tcW w:w="3389" w:type="pct"/>
            <w:gridSpan w:val="7"/>
            <w:shd w:val="clear" w:color="auto" w:fill="auto"/>
          </w:tcPr>
          <w:p w:rsidR="009F0BED" w:rsidRPr="00CF68D9" w:rsidRDefault="009F0BED" w:rsidP="00920311">
            <w:pPr>
              <w:jc w:val="both"/>
              <w:rPr>
                <w:highlight w:val="yellow"/>
              </w:rPr>
            </w:pPr>
            <w:proofErr w:type="spellStart"/>
            <w:r w:rsidRPr="002F31A6">
              <w:rPr>
                <w:rFonts w:eastAsia="Calibri"/>
                <w:lang w:val="en-US" w:eastAsia="en-US"/>
              </w:rPr>
              <w:t>Ðanić</w:t>
            </w:r>
            <w:proofErr w:type="spellEnd"/>
            <w:r w:rsidRPr="002F31A6">
              <w:rPr>
                <w:rFonts w:eastAsia="Calibri"/>
                <w:lang w:val="en-US" w:eastAsia="en-US"/>
              </w:rPr>
              <w:t xml:space="preserve"> M,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Pavlović</w:t>
            </w:r>
            <w:proofErr w:type="spellEnd"/>
            <w:r w:rsidRPr="002F31A6">
              <w:rPr>
                <w:rFonts w:eastAsia="Calibri"/>
                <w:lang w:val="en-US" w:eastAsia="en-US"/>
              </w:rPr>
              <w:t xml:space="preserve"> N, </w:t>
            </w:r>
            <w:proofErr w:type="spellStart"/>
            <w:r w:rsidRPr="002F31A6">
              <w:rPr>
                <w:rFonts w:eastAsia="Calibri"/>
                <w:lang w:val="en-US" w:eastAsia="en-US"/>
              </w:rPr>
              <w:t>Vukmirović</w:t>
            </w:r>
            <w:proofErr w:type="spellEnd"/>
            <w:r w:rsidRPr="002F31A6">
              <w:rPr>
                <w:rFonts w:eastAsia="Calibri"/>
                <w:lang w:val="en-US" w:eastAsia="en-US"/>
              </w:rPr>
              <w:t xml:space="preserve"> S, </w:t>
            </w:r>
            <w:proofErr w:type="spellStart"/>
            <w:r w:rsidRPr="002F31A6">
              <w:rPr>
                <w:rFonts w:eastAsia="Calibri"/>
                <w:lang w:val="en-US" w:eastAsia="en-US"/>
              </w:rPr>
              <w:t>Lazić</w:t>
            </w:r>
            <w:proofErr w:type="spellEnd"/>
            <w:r w:rsidRPr="002F31A6">
              <w:rPr>
                <w:rFonts w:eastAsia="Calibri"/>
                <w:lang w:val="en-US" w:eastAsia="en-US"/>
              </w:rPr>
              <w:t xml:space="preserve"> J, Al-Salami H, </w:t>
            </w:r>
            <w:r w:rsidR="00920311">
              <w:rPr>
                <w:rFonts w:eastAsia="Calibri"/>
                <w:lang w:val="en-US" w:eastAsia="en-US"/>
              </w:rPr>
              <w:t>et al</w:t>
            </w:r>
            <w:r w:rsidRPr="002F31A6">
              <w:rPr>
                <w:rFonts w:eastAsia="Calibri"/>
                <w:lang w:val="en-US" w:eastAsia="en-US"/>
              </w:rPr>
              <w:t xml:space="preserve">. </w:t>
            </w:r>
            <w:hyperlink r:id="rId11" w:history="1">
              <w:r w:rsidRPr="000F4998">
                <w:rPr>
                  <w:rStyle w:val="Hyperlink"/>
                  <w:rFonts w:eastAsia="Calibri"/>
                  <w:lang w:val="en-US" w:eastAsia="en-US"/>
                </w:rPr>
                <w:t>Transport and Biotransformation of Gliclazide and the Effect of Deoxycholic Acid in a Probiotic Bacteria Model</w:t>
              </w:r>
            </w:hyperlink>
            <w:r w:rsidRPr="002F31A6">
              <w:rPr>
                <w:rFonts w:eastAsia="Calibri"/>
                <w:lang w:val="en-US" w:eastAsia="en-US"/>
              </w:rPr>
              <w:t xml:space="preserve">. Front </w:t>
            </w:r>
            <w:proofErr w:type="spellStart"/>
            <w:r w:rsidRPr="002F31A6">
              <w:rPr>
                <w:rFonts w:eastAsia="Calibri"/>
                <w:lang w:val="en-US" w:eastAsia="en-US"/>
              </w:rPr>
              <w:t>Pharmacol</w:t>
            </w:r>
            <w:proofErr w:type="spellEnd"/>
            <w:r w:rsidRPr="002F31A6">
              <w:rPr>
                <w:rFonts w:eastAsia="Calibri"/>
                <w:lang w:val="en-US" w:eastAsia="en-US"/>
              </w:rPr>
              <w:t>. 2019</w:t>
            </w:r>
            <w:proofErr w:type="gramStart"/>
            <w:r w:rsidRPr="002F31A6">
              <w:rPr>
                <w:rFonts w:eastAsia="Calibri"/>
                <w:lang w:val="en-US" w:eastAsia="en-US"/>
              </w:rPr>
              <w:t>;10:1083</w:t>
            </w:r>
            <w:proofErr w:type="gramEnd"/>
            <w:r w:rsidRPr="002F31A6">
              <w:rPr>
                <w:rFonts w:eastAsia="Calibri"/>
                <w:lang w:val="en-US" w:eastAsia="en-US"/>
              </w:rPr>
              <w:t>.</w:t>
            </w:r>
          </w:p>
        </w:tc>
        <w:tc>
          <w:tcPr>
            <w:tcW w:w="496" w:type="pct"/>
            <w:gridSpan w:val="2"/>
            <w:vAlign w:val="center"/>
          </w:tcPr>
          <w:p w:rsidR="009F0BED" w:rsidRPr="00CF68D9" w:rsidRDefault="009F0BED" w:rsidP="009F0BED">
            <w:pPr>
              <w:jc w:val="center"/>
              <w:rPr>
                <w:highlight w:val="yellow"/>
              </w:rPr>
            </w:pPr>
            <w:r w:rsidRPr="0093083F">
              <w:t>52/271</w:t>
            </w:r>
          </w:p>
        </w:tc>
        <w:tc>
          <w:tcPr>
            <w:tcW w:w="425" w:type="pct"/>
            <w:gridSpan w:val="2"/>
            <w:vAlign w:val="center"/>
          </w:tcPr>
          <w:p w:rsidR="009F0BED" w:rsidRPr="00CF68D9" w:rsidRDefault="009F0BED" w:rsidP="009F0BED">
            <w:pPr>
              <w:jc w:val="center"/>
              <w:rPr>
                <w:highlight w:val="yellow"/>
              </w:rPr>
            </w:pPr>
            <w:r>
              <w:t>21</w:t>
            </w:r>
          </w:p>
        </w:tc>
        <w:tc>
          <w:tcPr>
            <w:tcW w:w="442" w:type="pct"/>
            <w:vAlign w:val="center"/>
          </w:tcPr>
          <w:p w:rsidR="009F0BED" w:rsidRPr="00CF68D9" w:rsidRDefault="009F0BED" w:rsidP="009F0BED">
            <w:pPr>
              <w:jc w:val="center"/>
              <w:rPr>
                <w:highlight w:val="yellow"/>
              </w:rPr>
            </w:pPr>
            <w:r w:rsidRPr="0093083F">
              <w:t>4.225</w:t>
            </w:r>
          </w:p>
        </w:tc>
      </w:tr>
      <w:tr w:rsidR="009F0BED" w:rsidRPr="00AE1ED1" w:rsidTr="00AE6BFE">
        <w:trPr>
          <w:trHeight w:val="305"/>
          <w:jc w:val="center"/>
        </w:trPr>
        <w:tc>
          <w:tcPr>
            <w:tcW w:w="248" w:type="pct"/>
            <w:vAlign w:val="center"/>
          </w:tcPr>
          <w:p w:rsidR="009F0BED" w:rsidRPr="00BC007D" w:rsidRDefault="00AC5DA4" w:rsidP="009F0BED">
            <w:pPr>
              <w:jc w:val="center"/>
              <w:rPr>
                <w:lang w:val="en-US"/>
              </w:rPr>
            </w:pPr>
            <w:r>
              <w:rPr>
                <w:lang w:val="en-US"/>
              </w:rPr>
              <w:t>8</w:t>
            </w:r>
            <w:r w:rsidR="009F0BED" w:rsidRPr="00BC007D">
              <w:rPr>
                <w:lang w:val="en-US"/>
              </w:rPr>
              <w:t>.</w:t>
            </w:r>
          </w:p>
        </w:tc>
        <w:tc>
          <w:tcPr>
            <w:tcW w:w="3389" w:type="pct"/>
            <w:gridSpan w:val="7"/>
            <w:shd w:val="clear" w:color="auto" w:fill="auto"/>
          </w:tcPr>
          <w:p w:rsidR="009F0BED" w:rsidRPr="00CF68D9" w:rsidRDefault="009F0BED" w:rsidP="00920311">
            <w:pPr>
              <w:jc w:val="both"/>
              <w:rPr>
                <w:highlight w:val="yellow"/>
              </w:rPr>
            </w:pPr>
            <w:r w:rsidRPr="002F31A6">
              <w:rPr>
                <w:rFonts w:eastAsia="Calibri"/>
                <w:lang w:val="en-US" w:eastAsia="en-US"/>
              </w:rPr>
              <w:t xml:space="preserve">Pavlović N, Đanić M,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Goločorbin-Kon</w:t>
            </w:r>
            <w:proofErr w:type="spellEnd"/>
            <w:r w:rsidRPr="002F31A6">
              <w:rPr>
                <w:rFonts w:eastAsia="Calibri"/>
                <w:lang w:val="en-US" w:eastAsia="en-US"/>
              </w:rPr>
              <w:t xml:space="preserve"> S, </w:t>
            </w:r>
            <w:proofErr w:type="spellStart"/>
            <w:r w:rsidRPr="002F31A6">
              <w:rPr>
                <w:rFonts w:eastAsia="Calibri"/>
                <w:lang w:val="en-US" w:eastAsia="en-US"/>
              </w:rPr>
              <w:t>Stankov</w:t>
            </w:r>
            <w:proofErr w:type="spellEnd"/>
            <w:r w:rsidRPr="002F31A6">
              <w:rPr>
                <w:rFonts w:eastAsia="Calibri"/>
                <w:lang w:val="en-US" w:eastAsia="en-US"/>
              </w:rPr>
              <w:t xml:space="preserve"> K, </w:t>
            </w:r>
            <w:proofErr w:type="spellStart"/>
            <w:r w:rsidRPr="002F31A6">
              <w:rPr>
                <w:rFonts w:eastAsia="Calibri"/>
                <w:lang w:val="en-US" w:eastAsia="en-US"/>
              </w:rPr>
              <w:t>Lalić-Popović</w:t>
            </w:r>
            <w:proofErr w:type="spellEnd"/>
            <w:r w:rsidRPr="002F31A6">
              <w:rPr>
                <w:rFonts w:eastAsia="Calibri"/>
                <w:lang w:val="en-US" w:eastAsia="en-US"/>
              </w:rPr>
              <w:t xml:space="preserve"> M, </w:t>
            </w:r>
            <w:r w:rsidR="00920311">
              <w:rPr>
                <w:rFonts w:eastAsia="Calibri"/>
                <w:lang w:val="en-US" w:eastAsia="en-US"/>
              </w:rPr>
              <w:t>et al</w:t>
            </w:r>
            <w:r w:rsidRPr="002F31A6">
              <w:rPr>
                <w:rFonts w:eastAsia="Calibri"/>
                <w:lang w:val="en-US" w:eastAsia="en-US"/>
              </w:rPr>
              <w:t xml:space="preserve">. </w:t>
            </w:r>
            <w:hyperlink r:id="rId12" w:history="1">
              <w:r w:rsidRPr="000847C0">
                <w:rPr>
                  <w:rStyle w:val="Hyperlink"/>
                  <w:rFonts w:eastAsia="Calibri"/>
                  <w:i/>
                  <w:iCs/>
                  <w:lang w:val="en-US" w:eastAsia="en-US"/>
                </w:rPr>
                <w:t>In Silico</w:t>
              </w:r>
              <w:r w:rsidRPr="000847C0">
                <w:rPr>
                  <w:rStyle w:val="Hyperlink"/>
                  <w:rFonts w:eastAsia="Calibri"/>
                  <w:lang w:val="en-US" w:eastAsia="en-US"/>
                </w:rPr>
                <w:t xml:space="preserve"> Discovery of Resveratrol Analogues as Potential Agents in Treatment of Metabolic Disorders</w:t>
              </w:r>
            </w:hyperlink>
            <w:r w:rsidRPr="002F31A6">
              <w:rPr>
                <w:rFonts w:eastAsia="Calibri"/>
                <w:lang w:val="en-US" w:eastAsia="en-US"/>
              </w:rPr>
              <w:t xml:space="preserve">. </w:t>
            </w:r>
            <w:proofErr w:type="spellStart"/>
            <w:r w:rsidRPr="002F31A6">
              <w:rPr>
                <w:rFonts w:eastAsia="Calibri"/>
                <w:lang w:val="en-US" w:eastAsia="en-US"/>
              </w:rPr>
              <w:t>Curr</w:t>
            </w:r>
            <w:proofErr w:type="spellEnd"/>
            <w:r w:rsidRPr="002F31A6">
              <w:rPr>
                <w:rFonts w:eastAsia="Calibri"/>
                <w:lang w:val="en-US" w:eastAsia="en-US"/>
              </w:rPr>
              <w:t xml:space="preserve"> </w:t>
            </w:r>
            <w:proofErr w:type="spellStart"/>
            <w:r w:rsidRPr="002F31A6">
              <w:rPr>
                <w:rFonts w:eastAsia="Calibri"/>
                <w:lang w:val="en-US" w:eastAsia="en-US"/>
              </w:rPr>
              <w:t>Pharm</w:t>
            </w:r>
            <w:proofErr w:type="spellEnd"/>
            <w:r w:rsidRPr="002F31A6">
              <w:rPr>
                <w:rFonts w:eastAsia="Calibri"/>
                <w:lang w:val="en-US" w:eastAsia="en-US"/>
              </w:rPr>
              <w:t xml:space="preserve"> Des. 2019</w:t>
            </w:r>
            <w:proofErr w:type="gramStart"/>
            <w:r>
              <w:rPr>
                <w:rFonts w:eastAsia="Calibri"/>
                <w:lang w:val="en-US" w:eastAsia="en-US"/>
              </w:rPr>
              <w:t>;25</w:t>
            </w:r>
            <w:proofErr w:type="gramEnd"/>
            <w:r>
              <w:rPr>
                <w:rFonts w:eastAsia="Calibri"/>
                <w:lang w:val="en-US" w:eastAsia="en-US"/>
              </w:rPr>
              <w:t>(35):3776-83.</w:t>
            </w:r>
          </w:p>
        </w:tc>
        <w:tc>
          <w:tcPr>
            <w:tcW w:w="496" w:type="pct"/>
            <w:gridSpan w:val="2"/>
            <w:vAlign w:val="center"/>
          </w:tcPr>
          <w:p w:rsidR="009F0BED" w:rsidRDefault="009F0BED" w:rsidP="009F0BED">
            <w:pPr>
              <w:jc w:val="center"/>
            </w:pPr>
            <w:r>
              <w:t>148/267</w:t>
            </w:r>
          </w:p>
          <w:p w:rsidR="009F0BED" w:rsidRPr="00CF68D9" w:rsidRDefault="009F0BED" w:rsidP="009F0BED">
            <w:pPr>
              <w:jc w:val="center"/>
              <w:rPr>
                <w:highlight w:val="yellow"/>
              </w:rPr>
            </w:pPr>
            <w:r>
              <w:t>(2018)</w:t>
            </w:r>
          </w:p>
        </w:tc>
        <w:tc>
          <w:tcPr>
            <w:tcW w:w="425" w:type="pct"/>
            <w:gridSpan w:val="2"/>
            <w:vAlign w:val="center"/>
          </w:tcPr>
          <w:p w:rsidR="009F0BED" w:rsidRPr="00CF68D9" w:rsidRDefault="009F0BED" w:rsidP="009F0BED">
            <w:pPr>
              <w:jc w:val="center"/>
              <w:rPr>
                <w:highlight w:val="yellow"/>
              </w:rPr>
            </w:pPr>
            <w:r>
              <w:t>22 (2018)</w:t>
            </w:r>
          </w:p>
        </w:tc>
        <w:tc>
          <w:tcPr>
            <w:tcW w:w="442" w:type="pct"/>
            <w:vAlign w:val="center"/>
          </w:tcPr>
          <w:p w:rsidR="009F0BED" w:rsidRDefault="009F0BED" w:rsidP="009F0BED">
            <w:pPr>
              <w:jc w:val="center"/>
            </w:pPr>
            <w:r>
              <w:t>2.412</w:t>
            </w:r>
          </w:p>
          <w:p w:rsidR="009F0BED" w:rsidRPr="00CF68D9" w:rsidRDefault="009F0BED" w:rsidP="009F0BED">
            <w:pPr>
              <w:jc w:val="center"/>
              <w:rPr>
                <w:highlight w:val="yellow"/>
              </w:rPr>
            </w:pPr>
            <w:r>
              <w:t>(2018)</w:t>
            </w:r>
          </w:p>
        </w:tc>
      </w:tr>
      <w:tr w:rsidR="009F0BED" w:rsidRPr="00AE1ED1" w:rsidTr="00AE6BFE">
        <w:trPr>
          <w:trHeight w:val="305"/>
          <w:jc w:val="center"/>
        </w:trPr>
        <w:tc>
          <w:tcPr>
            <w:tcW w:w="248" w:type="pct"/>
            <w:vAlign w:val="center"/>
          </w:tcPr>
          <w:p w:rsidR="009F0BED" w:rsidRPr="00BC007D" w:rsidRDefault="00AC5DA4" w:rsidP="009F0BED">
            <w:pPr>
              <w:jc w:val="center"/>
              <w:rPr>
                <w:lang w:val="en-US"/>
              </w:rPr>
            </w:pPr>
            <w:r>
              <w:rPr>
                <w:lang w:val="en-US"/>
              </w:rPr>
              <w:t>9</w:t>
            </w:r>
            <w:r w:rsidR="009F0BED" w:rsidRPr="00BC007D">
              <w:rPr>
                <w:lang w:val="en-US"/>
              </w:rPr>
              <w:t>.</w:t>
            </w:r>
          </w:p>
        </w:tc>
        <w:tc>
          <w:tcPr>
            <w:tcW w:w="3389" w:type="pct"/>
            <w:gridSpan w:val="7"/>
            <w:shd w:val="clear" w:color="auto" w:fill="auto"/>
          </w:tcPr>
          <w:p w:rsidR="009F0BED" w:rsidRPr="00CF68D9" w:rsidRDefault="009F0BED" w:rsidP="00920311">
            <w:pPr>
              <w:jc w:val="both"/>
              <w:rPr>
                <w:highlight w:val="yellow"/>
              </w:rPr>
            </w:pPr>
            <w:proofErr w:type="spellStart"/>
            <w:r w:rsidRPr="002F31A6">
              <w:rPr>
                <w:rFonts w:eastAsia="Calibri"/>
                <w:lang w:val="en-US" w:eastAsia="en-US"/>
              </w:rPr>
              <w:t>Pavlović</w:t>
            </w:r>
            <w:proofErr w:type="spellEnd"/>
            <w:r w:rsidRPr="002F31A6">
              <w:rPr>
                <w:rFonts w:eastAsia="Calibri"/>
                <w:lang w:val="en-US" w:eastAsia="en-US"/>
              </w:rPr>
              <w:t xml:space="preserve"> N, </w:t>
            </w:r>
            <w:proofErr w:type="spellStart"/>
            <w:r w:rsidRPr="002F31A6">
              <w:rPr>
                <w:rFonts w:eastAsia="Calibri"/>
                <w:lang w:val="en-US" w:eastAsia="en-US"/>
              </w:rPr>
              <w:t>Goločorbin-Kon</w:t>
            </w:r>
            <w:proofErr w:type="spellEnd"/>
            <w:r w:rsidRPr="002F31A6">
              <w:rPr>
                <w:rFonts w:eastAsia="Calibri"/>
                <w:lang w:val="en-US" w:eastAsia="en-US"/>
              </w:rPr>
              <w:t xml:space="preserve"> S, </w:t>
            </w:r>
            <w:proofErr w:type="spellStart"/>
            <w:r w:rsidRPr="002F31A6">
              <w:rPr>
                <w:rFonts w:eastAsia="Calibri"/>
                <w:lang w:val="en-US" w:eastAsia="en-US"/>
              </w:rPr>
              <w:t>Đanić</w:t>
            </w:r>
            <w:proofErr w:type="spellEnd"/>
            <w:r w:rsidRPr="002F31A6">
              <w:rPr>
                <w:rFonts w:eastAsia="Calibri"/>
                <w:lang w:val="en-US" w:eastAsia="en-US"/>
              </w:rPr>
              <w:t xml:space="preserve"> M, </w:t>
            </w:r>
            <w:r w:rsidRPr="002F31A6">
              <w:rPr>
                <w:rFonts w:eastAsia="Calibri"/>
                <w:b/>
                <w:bCs/>
                <w:lang w:val="en-US" w:eastAsia="en-US"/>
              </w:rPr>
              <w:t>Stanimirov B</w:t>
            </w:r>
            <w:r w:rsidRPr="002F31A6">
              <w:rPr>
                <w:rFonts w:eastAsia="Calibri"/>
                <w:lang w:val="en-US" w:eastAsia="en-US"/>
              </w:rPr>
              <w:t xml:space="preserve">, Stankov K, Al-Salami H, </w:t>
            </w:r>
            <w:r w:rsidR="00920311">
              <w:rPr>
                <w:rFonts w:eastAsia="Calibri"/>
                <w:lang w:val="en-US" w:eastAsia="en-US"/>
              </w:rPr>
              <w:t>et al</w:t>
            </w:r>
            <w:r w:rsidRPr="002F31A6">
              <w:rPr>
                <w:rFonts w:eastAsia="Calibri"/>
                <w:lang w:val="en-US" w:eastAsia="en-US"/>
              </w:rPr>
              <w:t xml:space="preserve">. </w:t>
            </w:r>
            <w:hyperlink r:id="rId13" w:history="1">
              <w:r w:rsidRPr="00274A38">
                <w:rPr>
                  <w:rStyle w:val="Hyperlink"/>
                  <w:rFonts w:eastAsia="Calibri"/>
                  <w:lang w:val="en-US" w:eastAsia="en-US"/>
                </w:rPr>
                <w:t>Bile acids and their derivatives as potential modifiers of drug release and pharmacokinetic profiles</w:t>
              </w:r>
            </w:hyperlink>
            <w:r w:rsidRPr="002F31A6">
              <w:rPr>
                <w:rFonts w:eastAsia="Calibri"/>
                <w:lang w:val="en-US" w:eastAsia="en-US"/>
              </w:rPr>
              <w:t xml:space="preserve">. Front </w:t>
            </w:r>
            <w:proofErr w:type="spellStart"/>
            <w:r w:rsidRPr="002F31A6">
              <w:rPr>
                <w:rFonts w:eastAsia="Calibri"/>
                <w:lang w:val="en-US" w:eastAsia="en-US"/>
              </w:rPr>
              <w:t>Pharmacol</w:t>
            </w:r>
            <w:proofErr w:type="spellEnd"/>
            <w:r w:rsidRPr="002F31A6">
              <w:rPr>
                <w:rFonts w:eastAsia="Calibri"/>
                <w:lang w:val="en-US" w:eastAsia="en-US"/>
              </w:rPr>
              <w:t xml:space="preserve">. </w:t>
            </w:r>
            <w:proofErr w:type="gramStart"/>
            <w:r w:rsidRPr="002F31A6">
              <w:rPr>
                <w:rFonts w:eastAsia="Calibri"/>
                <w:lang w:val="en-US" w:eastAsia="en-US"/>
              </w:rPr>
              <w:t>2018 ;9:1283</w:t>
            </w:r>
            <w:proofErr w:type="gramEnd"/>
            <w:r w:rsidRPr="002F31A6">
              <w:rPr>
                <w:rFonts w:eastAsia="Calibri"/>
                <w:lang w:val="en-US" w:eastAsia="en-US"/>
              </w:rPr>
              <w:t>.</w:t>
            </w:r>
          </w:p>
        </w:tc>
        <w:tc>
          <w:tcPr>
            <w:tcW w:w="496" w:type="pct"/>
            <w:gridSpan w:val="2"/>
            <w:vAlign w:val="center"/>
          </w:tcPr>
          <w:p w:rsidR="009F0BED" w:rsidRPr="00CF68D9" w:rsidRDefault="009F0BED" w:rsidP="009F0BED">
            <w:pPr>
              <w:jc w:val="center"/>
              <w:rPr>
                <w:highlight w:val="yellow"/>
              </w:rPr>
            </w:pPr>
            <w:r w:rsidRPr="0093083F">
              <w:t>59/267</w:t>
            </w:r>
          </w:p>
        </w:tc>
        <w:tc>
          <w:tcPr>
            <w:tcW w:w="425" w:type="pct"/>
            <w:gridSpan w:val="2"/>
            <w:vAlign w:val="center"/>
          </w:tcPr>
          <w:p w:rsidR="009F0BED" w:rsidRPr="00CF68D9" w:rsidRDefault="009F0BED" w:rsidP="009F0BED">
            <w:pPr>
              <w:jc w:val="center"/>
              <w:rPr>
                <w:highlight w:val="yellow"/>
              </w:rPr>
            </w:pPr>
            <w:r>
              <w:t>21</w:t>
            </w:r>
          </w:p>
        </w:tc>
        <w:tc>
          <w:tcPr>
            <w:tcW w:w="442" w:type="pct"/>
            <w:vAlign w:val="center"/>
          </w:tcPr>
          <w:p w:rsidR="009F0BED" w:rsidRPr="00CF68D9" w:rsidRDefault="009F0BED" w:rsidP="009F0BED">
            <w:pPr>
              <w:jc w:val="center"/>
              <w:rPr>
                <w:highlight w:val="yellow"/>
              </w:rPr>
            </w:pPr>
            <w:r w:rsidRPr="0093083F">
              <w:t>3.845</w:t>
            </w:r>
          </w:p>
        </w:tc>
      </w:tr>
      <w:tr w:rsidR="009F0BED" w:rsidRPr="00AE1ED1" w:rsidTr="00AE6BFE">
        <w:trPr>
          <w:trHeight w:val="305"/>
          <w:jc w:val="center"/>
        </w:trPr>
        <w:tc>
          <w:tcPr>
            <w:tcW w:w="248" w:type="pct"/>
            <w:vAlign w:val="center"/>
          </w:tcPr>
          <w:p w:rsidR="009F0BED" w:rsidRPr="00BC007D" w:rsidRDefault="009F0BED" w:rsidP="009F0BED">
            <w:pPr>
              <w:jc w:val="center"/>
              <w:rPr>
                <w:lang w:val="en-US"/>
              </w:rPr>
            </w:pPr>
            <w:r>
              <w:rPr>
                <w:lang w:val="en-US"/>
              </w:rPr>
              <w:t>1</w:t>
            </w:r>
            <w:r w:rsidR="00AC5DA4">
              <w:rPr>
                <w:lang w:val="en-US"/>
              </w:rPr>
              <w:t>0</w:t>
            </w:r>
            <w:r w:rsidRPr="00BC007D">
              <w:rPr>
                <w:lang w:val="en-US"/>
              </w:rPr>
              <w:t>.</w:t>
            </w:r>
          </w:p>
        </w:tc>
        <w:tc>
          <w:tcPr>
            <w:tcW w:w="3389" w:type="pct"/>
            <w:gridSpan w:val="7"/>
            <w:shd w:val="clear" w:color="auto" w:fill="auto"/>
          </w:tcPr>
          <w:p w:rsidR="009F0BED" w:rsidRPr="00CF68D9" w:rsidRDefault="009F0BED" w:rsidP="00920311">
            <w:pPr>
              <w:jc w:val="both"/>
              <w:rPr>
                <w:color w:val="000000"/>
                <w:highlight w:val="yellow"/>
                <w:lang w:val="en-US"/>
              </w:rPr>
            </w:pPr>
            <w:r w:rsidRPr="002F31A6">
              <w:rPr>
                <w:rFonts w:eastAsia="Calibri"/>
                <w:lang w:val="en-US" w:eastAsia="en-US"/>
              </w:rPr>
              <w:t xml:space="preserve">Đanić M, </w:t>
            </w:r>
            <w:r w:rsidRPr="002F31A6">
              <w:rPr>
                <w:rFonts w:eastAsia="Calibri"/>
                <w:b/>
                <w:bCs/>
                <w:lang w:val="en-US" w:eastAsia="en-US"/>
              </w:rPr>
              <w:t>Stanimirov B</w:t>
            </w:r>
            <w:r w:rsidRPr="002F31A6">
              <w:rPr>
                <w:rFonts w:eastAsia="Calibri"/>
                <w:lang w:val="en-US" w:eastAsia="en-US"/>
              </w:rPr>
              <w:t xml:space="preserve">, </w:t>
            </w:r>
            <w:proofErr w:type="spellStart"/>
            <w:r w:rsidRPr="002F31A6">
              <w:rPr>
                <w:rFonts w:eastAsia="Calibri"/>
                <w:lang w:val="en-US" w:eastAsia="en-US"/>
              </w:rPr>
              <w:t>Pavlović</w:t>
            </w:r>
            <w:proofErr w:type="spellEnd"/>
            <w:r w:rsidRPr="002F31A6">
              <w:rPr>
                <w:rFonts w:eastAsia="Calibri"/>
                <w:lang w:val="en-US" w:eastAsia="en-US"/>
              </w:rPr>
              <w:t xml:space="preserve"> N, </w:t>
            </w:r>
            <w:proofErr w:type="spellStart"/>
            <w:r w:rsidRPr="002F31A6">
              <w:rPr>
                <w:rFonts w:eastAsia="Calibri"/>
                <w:lang w:val="en-US" w:eastAsia="en-US"/>
              </w:rPr>
              <w:t>Goločorbin-Kon</w:t>
            </w:r>
            <w:proofErr w:type="spellEnd"/>
            <w:r w:rsidRPr="002F31A6">
              <w:rPr>
                <w:rFonts w:eastAsia="Calibri"/>
                <w:lang w:val="en-US" w:eastAsia="en-US"/>
              </w:rPr>
              <w:t xml:space="preserve"> S, Al-Salami H, </w:t>
            </w:r>
            <w:proofErr w:type="spellStart"/>
            <w:r w:rsidRPr="002F31A6">
              <w:rPr>
                <w:rFonts w:eastAsia="Calibri"/>
                <w:lang w:val="en-US" w:eastAsia="en-US"/>
              </w:rPr>
              <w:t>Stankov</w:t>
            </w:r>
            <w:proofErr w:type="spellEnd"/>
            <w:r w:rsidRPr="002F31A6">
              <w:rPr>
                <w:rFonts w:eastAsia="Calibri"/>
                <w:lang w:val="en-US" w:eastAsia="en-US"/>
              </w:rPr>
              <w:t xml:space="preserve"> K, </w:t>
            </w:r>
            <w:r w:rsidR="00920311">
              <w:rPr>
                <w:rFonts w:eastAsia="Calibri"/>
                <w:lang w:val="en-US" w:eastAsia="en-US"/>
              </w:rPr>
              <w:t>et al</w:t>
            </w:r>
            <w:r w:rsidRPr="002F31A6">
              <w:rPr>
                <w:rFonts w:eastAsia="Calibri"/>
                <w:lang w:val="en-US" w:eastAsia="en-US"/>
              </w:rPr>
              <w:t xml:space="preserve">. </w:t>
            </w:r>
            <w:hyperlink r:id="rId14" w:history="1">
              <w:r w:rsidRPr="00274A38">
                <w:rPr>
                  <w:rStyle w:val="Hyperlink"/>
                  <w:rFonts w:eastAsia="Calibri"/>
                  <w:lang w:val="en-US" w:eastAsia="en-US"/>
                </w:rPr>
                <w:t>Pharmacological application of bile acids and their derivatives in the treatment of metabolic syndrome</w:t>
              </w:r>
            </w:hyperlink>
            <w:r w:rsidRPr="002F31A6">
              <w:rPr>
                <w:rFonts w:eastAsia="Calibri"/>
                <w:lang w:val="en-US" w:eastAsia="en-US"/>
              </w:rPr>
              <w:t xml:space="preserve">. Front </w:t>
            </w:r>
            <w:proofErr w:type="spellStart"/>
            <w:r w:rsidRPr="002F31A6">
              <w:rPr>
                <w:rFonts w:eastAsia="Calibri"/>
                <w:lang w:val="en-US" w:eastAsia="en-US"/>
              </w:rPr>
              <w:t>Pharmacol</w:t>
            </w:r>
            <w:proofErr w:type="spellEnd"/>
            <w:r w:rsidRPr="002F31A6">
              <w:rPr>
                <w:rFonts w:eastAsia="Calibri"/>
                <w:lang w:val="en-US" w:eastAsia="en-US"/>
              </w:rPr>
              <w:t xml:space="preserve">. </w:t>
            </w:r>
            <w:proofErr w:type="gramStart"/>
            <w:r w:rsidRPr="002F31A6">
              <w:rPr>
                <w:rFonts w:eastAsia="Calibri"/>
                <w:lang w:val="en-US" w:eastAsia="en-US"/>
              </w:rPr>
              <w:t>2018 ;9:1382</w:t>
            </w:r>
            <w:proofErr w:type="gramEnd"/>
            <w:r w:rsidRPr="002F31A6">
              <w:rPr>
                <w:rFonts w:eastAsia="Calibri"/>
                <w:lang w:val="en-US" w:eastAsia="en-US"/>
              </w:rPr>
              <w:t>.</w:t>
            </w:r>
          </w:p>
        </w:tc>
        <w:tc>
          <w:tcPr>
            <w:tcW w:w="496" w:type="pct"/>
            <w:gridSpan w:val="2"/>
            <w:vAlign w:val="center"/>
          </w:tcPr>
          <w:p w:rsidR="009F0BED" w:rsidRPr="00CF68D9" w:rsidRDefault="009F0BED" w:rsidP="009F0BED">
            <w:pPr>
              <w:spacing w:after="120"/>
              <w:jc w:val="center"/>
              <w:rPr>
                <w:color w:val="000000"/>
                <w:highlight w:val="yellow"/>
                <w:lang w:val="en-US"/>
              </w:rPr>
            </w:pPr>
            <w:r w:rsidRPr="0093083F">
              <w:t>59/267</w:t>
            </w:r>
          </w:p>
        </w:tc>
        <w:tc>
          <w:tcPr>
            <w:tcW w:w="425" w:type="pct"/>
            <w:gridSpan w:val="2"/>
            <w:vAlign w:val="center"/>
          </w:tcPr>
          <w:p w:rsidR="009F0BED" w:rsidRPr="00CF68D9" w:rsidRDefault="009F0BED" w:rsidP="009F0BED">
            <w:pPr>
              <w:spacing w:after="120"/>
              <w:jc w:val="center"/>
              <w:rPr>
                <w:color w:val="000000"/>
                <w:highlight w:val="yellow"/>
                <w:lang w:val="en-US"/>
              </w:rPr>
            </w:pPr>
            <w:r>
              <w:rPr>
                <w:color w:val="000000"/>
                <w:lang w:val="en-US"/>
              </w:rPr>
              <w:t>21</w:t>
            </w:r>
          </w:p>
        </w:tc>
        <w:tc>
          <w:tcPr>
            <w:tcW w:w="442" w:type="pct"/>
            <w:vAlign w:val="center"/>
          </w:tcPr>
          <w:p w:rsidR="009F0BED" w:rsidRPr="00CF68D9" w:rsidRDefault="009F0BED" w:rsidP="009F0BED">
            <w:pPr>
              <w:jc w:val="center"/>
              <w:rPr>
                <w:color w:val="000000"/>
                <w:highlight w:val="yellow"/>
                <w:lang w:val="en-US"/>
              </w:rPr>
            </w:pPr>
            <w:r w:rsidRPr="0093083F">
              <w:t>3.845</w:t>
            </w:r>
          </w:p>
        </w:tc>
      </w:tr>
      <w:tr w:rsidR="009F0BED" w:rsidRPr="00AE1ED1" w:rsidTr="00AE6BFE">
        <w:trPr>
          <w:trHeight w:val="305"/>
          <w:jc w:val="center"/>
        </w:trPr>
        <w:tc>
          <w:tcPr>
            <w:tcW w:w="248" w:type="pct"/>
            <w:vAlign w:val="center"/>
          </w:tcPr>
          <w:p w:rsidR="009F0BED" w:rsidRDefault="00AC5DA4" w:rsidP="009F0BED">
            <w:pPr>
              <w:jc w:val="center"/>
              <w:rPr>
                <w:lang w:val="en-US"/>
              </w:rPr>
            </w:pPr>
            <w:r>
              <w:rPr>
                <w:lang w:val="en-US"/>
              </w:rPr>
              <w:t>11</w:t>
            </w:r>
            <w:r w:rsidR="009F0BED">
              <w:rPr>
                <w:lang w:val="en-US"/>
              </w:rPr>
              <w:t>.</w:t>
            </w:r>
          </w:p>
        </w:tc>
        <w:tc>
          <w:tcPr>
            <w:tcW w:w="3389" w:type="pct"/>
            <w:gridSpan w:val="7"/>
            <w:shd w:val="clear" w:color="auto" w:fill="auto"/>
          </w:tcPr>
          <w:p w:rsidR="009F0BED" w:rsidRPr="00CF68D9" w:rsidRDefault="009F0BED" w:rsidP="00920311">
            <w:pPr>
              <w:jc w:val="both"/>
              <w:rPr>
                <w:color w:val="000000"/>
                <w:highlight w:val="yellow"/>
                <w:lang w:val="en-US"/>
              </w:rPr>
            </w:pPr>
            <w:proofErr w:type="spellStart"/>
            <w:r w:rsidRPr="002F31A6">
              <w:rPr>
                <w:rFonts w:eastAsia="Calibri"/>
                <w:lang w:val="en-US" w:eastAsia="en-US"/>
              </w:rPr>
              <w:t>Mikov</w:t>
            </w:r>
            <w:proofErr w:type="spellEnd"/>
            <w:r w:rsidRPr="002F31A6">
              <w:rPr>
                <w:rFonts w:eastAsia="Calibri"/>
                <w:lang w:val="en-US" w:eastAsia="en-US"/>
              </w:rPr>
              <w:t xml:space="preserve"> M, </w:t>
            </w:r>
            <w:proofErr w:type="spellStart"/>
            <w:r w:rsidRPr="002F31A6">
              <w:rPr>
                <w:rFonts w:eastAsia="Calibri"/>
                <w:lang w:val="en-US" w:eastAsia="en-US"/>
              </w:rPr>
              <w:t>Đanić</w:t>
            </w:r>
            <w:proofErr w:type="spellEnd"/>
            <w:r w:rsidRPr="002F31A6">
              <w:rPr>
                <w:rFonts w:eastAsia="Calibri"/>
                <w:lang w:val="en-US" w:eastAsia="en-US"/>
              </w:rPr>
              <w:t xml:space="preserve"> M, Pavlović N,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Goločorbin-Kon</w:t>
            </w:r>
            <w:proofErr w:type="spellEnd"/>
            <w:r w:rsidRPr="002F31A6">
              <w:rPr>
                <w:rFonts w:eastAsia="Calibri"/>
                <w:lang w:val="en-US" w:eastAsia="en-US"/>
              </w:rPr>
              <w:t xml:space="preserve"> S, </w:t>
            </w:r>
            <w:proofErr w:type="spellStart"/>
            <w:r w:rsidRPr="002F31A6">
              <w:rPr>
                <w:rFonts w:eastAsia="Calibri"/>
                <w:lang w:val="en-US" w:eastAsia="en-US"/>
              </w:rPr>
              <w:t>Stankov</w:t>
            </w:r>
            <w:proofErr w:type="spellEnd"/>
            <w:r w:rsidRPr="002F31A6">
              <w:rPr>
                <w:rFonts w:eastAsia="Calibri"/>
                <w:lang w:val="en-US" w:eastAsia="en-US"/>
              </w:rPr>
              <w:t xml:space="preserve"> K, </w:t>
            </w:r>
            <w:r w:rsidR="00920311">
              <w:rPr>
                <w:rFonts w:eastAsia="Calibri"/>
                <w:lang w:val="en-US" w:eastAsia="en-US"/>
              </w:rPr>
              <w:t>et al</w:t>
            </w:r>
            <w:r w:rsidRPr="002F31A6">
              <w:rPr>
                <w:rFonts w:eastAsia="Calibri"/>
                <w:lang w:val="en-US" w:eastAsia="en-US"/>
              </w:rPr>
              <w:t xml:space="preserve">. </w:t>
            </w:r>
            <w:hyperlink r:id="rId15" w:history="1">
              <w:r w:rsidRPr="000847C0">
                <w:rPr>
                  <w:rStyle w:val="Hyperlink"/>
                  <w:rFonts w:eastAsia="Calibri"/>
                  <w:lang w:val="en-US" w:eastAsia="en-US"/>
                </w:rPr>
                <w:t xml:space="preserve">Potential Applications of Gliclazide in Treating Type 1 Diabetes Mellitus: Formulation </w:t>
              </w:r>
              <w:r w:rsidRPr="000847C0">
                <w:rPr>
                  <w:rStyle w:val="Hyperlink"/>
                  <w:rFonts w:eastAsia="Calibri"/>
                  <w:lang w:val="en-US" w:eastAsia="en-US"/>
                </w:rPr>
                <w:lastRenderedPageBreak/>
                <w:t>with Bile Acids and Probiotics</w:t>
              </w:r>
            </w:hyperlink>
            <w:r w:rsidRPr="002F31A6">
              <w:rPr>
                <w:rFonts w:eastAsia="Calibri"/>
                <w:lang w:val="en-US" w:eastAsia="en-US"/>
              </w:rPr>
              <w:t xml:space="preserve">. </w:t>
            </w:r>
            <w:proofErr w:type="spellStart"/>
            <w:r w:rsidRPr="002F31A6">
              <w:rPr>
                <w:rFonts w:eastAsia="Calibri"/>
                <w:lang w:val="en-US" w:eastAsia="en-US"/>
              </w:rPr>
              <w:t>Eur</w:t>
            </w:r>
            <w:proofErr w:type="spellEnd"/>
            <w:r w:rsidRPr="002F31A6">
              <w:rPr>
                <w:rFonts w:eastAsia="Calibri"/>
                <w:lang w:val="en-US" w:eastAsia="en-US"/>
              </w:rPr>
              <w:t xml:space="preserve"> J Drug </w:t>
            </w:r>
            <w:proofErr w:type="spellStart"/>
            <w:r w:rsidRPr="002F31A6">
              <w:rPr>
                <w:rFonts w:eastAsia="Calibri"/>
                <w:lang w:val="en-US" w:eastAsia="en-US"/>
              </w:rPr>
              <w:t>Metab</w:t>
            </w:r>
            <w:proofErr w:type="spellEnd"/>
            <w:r w:rsidRPr="002F31A6">
              <w:rPr>
                <w:rFonts w:eastAsia="Calibri"/>
                <w:lang w:val="en-US" w:eastAsia="en-US"/>
              </w:rPr>
              <w:t xml:space="preserve"> </w:t>
            </w:r>
            <w:proofErr w:type="spellStart"/>
            <w:r w:rsidRPr="002F31A6">
              <w:rPr>
                <w:rFonts w:eastAsia="Calibri"/>
                <w:lang w:val="en-US" w:eastAsia="en-US"/>
              </w:rPr>
              <w:t>Pharmacokinet</w:t>
            </w:r>
            <w:proofErr w:type="spellEnd"/>
            <w:r w:rsidRPr="002F31A6">
              <w:rPr>
                <w:rFonts w:eastAsia="Calibri"/>
                <w:lang w:val="en-US" w:eastAsia="en-US"/>
              </w:rPr>
              <w:t>. 2018;43(3):269-80.</w:t>
            </w:r>
          </w:p>
        </w:tc>
        <w:tc>
          <w:tcPr>
            <w:tcW w:w="496" w:type="pct"/>
            <w:gridSpan w:val="2"/>
            <w:vAlign w:val="center"/>
          </w:tcPr>
          <w:p w:rsidR="009F0BED" w:rsidRPr="00CF68D9" w:rsidRDefault="009F0BED" w:rsidP="009F0BED">
            <w:pPr>
              <w:spacing w:after="120"/>
              <w:jc w:val="center"/>
              <w:rPr>
                <w:color w:val="000000"/>
                <w:highlight w:val="yellow"/>
                <w:lang w:val="en-US"/>
              </w:rPr>
            </w:pPr>
            <w:r w:rsidRPr="000847C0">
              <w:rPr>
                <w:color w:val="000000"/>
                <w:lang w:val="en-US"/>
              </w:rPr>
              <w:lastRenderedPageBreak/>
              <w:t>221/267</w:t>
            </w:r>
          </w:p>
        </w:tc>
        <w:tc>
          <w:tcPr>
            <w:tcW w:w="425" w:type="pct"/>
            <w:gridSpan w:val="2"/>
            <w:vAlign w:val="center"/>
          </w:tcPr>
          <w:p w:rsidR="009F0BED" w:rsidRPr="00CF68D9" w:rsidRDefault="009F0BED" w:rsidP="009F0BED">
            <w:pPr>
              <w:spacing w:after="120"/>
              <w:jc w:val="center"/>
              <w:rPr>
                <w:color w:val="000000"/>
                <w:highlight w:val="yellow"/>
                <w:lang w:val="en-US"/>
              </w:rPr>
            </w:pPr>
            <w:r>
              <w:rPr>
                <w:color w:val="000000"/>
                <w:lang w:val="en-US"/>
              </w:rPr>
              <w:t>23</w:t>
            </w:r>
          </w:p>
        </w:tc>
        <w:tc>
          <w:tcPr>
            <w:tcW w:w="442" w:type="pct"/>
            <w:vAlign w:val="center"/>
          </w:tcPr>
          <w:p w:rsidR="009F0BED" w:rsidRPr="00CF68D9" w:rsidRDefault="009F0BED" w:rsidP="009F0BED">
            <w:pPr>
              <w:jc w:val="center"/>
              <w:rPr>
                <w:color w:val="000000"/>
                <w:highlight w:val="yellow"/>
                <w:lang w:val="en-US"/>
              </w:rPr>
            </w:pPr>
            <w:r w:rsidRPr="000847C0">
              <w:rPr>
                <w:color w:val="000000"/>
                <w:lang w:val="en-US"/>
              </w:rPr>
              <w:t>1.497</w:t>
            </w:r>
          </w:p>
        </w:tc>
      </w:tr>
      <w:tr w:rsidR="009F0BED" w:rsidRPr="00AE1ED1" w:rsidTr="00AE6BFE">
        <w:trPr>
          <w:trHeight w:val="227"/>
          <w:jc w:val="center"/>
        </w:trPr>
        <w:tc>
          <w:tcPr>
            <w:tcW w:w="248" w:type="pct"/>
            <w:vAlign w:val="center"/>
          </w:tcPr>
          <w:p w:rsidR="009F0BED" w:rsidRPr="00BC007D" w:rsidRDefault="009F0BED" w:rsidP="009F0BED">
            <w:pPr>
              <w:jc w:val="center"/>
              <w:rPr>
                <w:lang w:val="en-US"/>
              </w:rPr>
            </w:pPr>
            <w:r>
              <w:rPr>
                <w:lang w:val="en-US"/>
              </w:rPr>
              <w:lastRenderedPageBreak/>
              <w:t>1</w:t>
            </w:r>
            <w:r w:rsidR="00AC5DA4">
              <w:rPr>
                <w:lang w:val="en-US"/>
              </w:rPr>
              <w:t>2</w:t>
            </w:r>
            <w:r w:rsidRPr="00BC007D">
              <w:rPr>
                <w:lang w:val="en-US"/>
              </w:rPr>
              <w:t>.</w:t>
            </w:r>
          </w:p>
        </w:tc>
        <w:tc>
          <w:tcPr>
            <w:tcW w:w="3389" w:type="pct"/>
            <w:gridSpan w:val="7"/>
            <w:shd w:val="clear" w:color="auto" w:fill="auto"/>
          </w:tcPr>
          <w:p w:rsidR="009F0BED" w:rsidRPr="00CF68D9" w:rsidRDefault="009F0BED" w:rsidP="009F0BED">
            <w:pPr>
              <w:jc w:val="both"/>
              <w:rPr>
                <w:color w:val="000000"/>
                <w:highlight w:val="yellow"/>
                <w:lang w:val="en-US"/>
              </w:rPr>
            </w:pPr>
            <w:r w:rsidRPr="002F31A6">
              <w:rPr>
                <w:rFonts w:eastAsia="Calibri"/>
                <w:lang w:val="en-US" w:eastAsia="en-US"/>
              </w:rPr>
              <w:t xml:space="preserve">Pavlović N,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Mikov</w:t>
            </w:r>
            <w:proofErr w:type="spellEnd"/>
            <w:r w:rsidRPr="002F31A6">
              <w:rPr>
                <w:rFonts w:eastAsia="Calibri"/>
                <w:lang w:val="en-US" w:eastAsia="en-US"/>
              </w:rPr>
              <w:t xml:space="preserve"> M. </w:t>
            </w:r>
            <w:hyperlink r:id="rId16" w:history="1">
              <w:r w:rsidRPr="000847C0">
                <w:rPr>
                  <w:rStyle w:val="Hyperlink"/>
                  <w:rFonts w:eastAsia="Calibri"/>
                  <w:lang w:val="en-US" w:eastAsia="en-US"/>
                </w:rPr>
                <w:t>Bile Acids as Novel Pharmacological Agents: The Interplay Between Gene Polymorphisms, Epigenetic Factors and Drug Response</w:t>
              </w:r>
            </w:hyperlink>
            <w:r w:rsidRPr="002F31A6">
              <w:rPr>
                <w:rFonts w:eastAsia="Calibri"/>
                <w:lang w:val="en-US" w:eastAsia="en-US"/>
              </w:rPr>
              <w:t xml:space="preserve">. </w:t>
            </w:r>
            <w:proofErr w:type="spellStart"/>
            <w:r w:rsidRPr="002F31A6">
              <w:rPr>
                <w:rFonts w:eastAsia="Calibri"/>
                <w:lang w:val="en-US" w:eastAsia="en-US"/>
              </w:rPr>
              <w:t>Curr</w:t>
            </w:r>
            <w:proofErr w:type="spellEnd"/>
            <w:r w:rsidRPr="002F31A6">
              <w:rPr>
                <w:rFonts w:eastAsia="Calibri"/>
                <w:lang w:val="en-US" w:eastAsia="en-US"/>
              </w:rPr>
              <w:t xml:space="preserve"> </w:t>
            </w:r>
            <w:proofErr w:type="spellStart"/>
            <w:r w:rsidRPr="002F31A6">
              <w:rPr>
                <w:rFonts w:eastAsia="Calibri"/>
                <w:lang w:val="en-US" w:eastAsia="en-US"/>
              </w:rPr>
              <w:t>Pharm</w:t>
            </w:r>
            <w:proofErr w:type="spellEnd"/>
            <w:r w:rsidRPr="002F31A6">
              <w:rPr>
                <w:rFonts w:eastAsia="Calibri"/>
                <w:lang w:val="en-US" w:eastAsia="en-US"/>
              </w:rPr>
              <w:t xml:space="preserve"> Des. 2017;23(1):187-215.</w:t>
            </w:r>
          </w:p>
        </w:tc>
        <w:tc>
          <w:tcPr>
            <w:tcW w:w="496" w:type="pct"/>
            <w:gridSpan w:val="2"/>
            <w:vAlign w:val="center"/>
          </w:tcPr>
          <w:p w:rsidR="009F0BED" w:rsidRPr="00CF68D9" w:rsidRDefault="009F0BED" w:rsidP="009F0BED">
            <w:pPr>
              <w:spacing w:after="120"/>
              <w:jc w:val="center"/>
              <w:rPr>
                <w:color w:val="000000"/>
                <w:highlight w:val="yellow"/>
                <w:lang w:val="en-US"/>
              </w:rPr>
            </w:pPr>
            <w:r>
              <w:rPr>
                <w:color w:val="000000"/>
                <w:lang w:val="en-US"/>
              </w:rPr>
              <w:t>221/261</w:t>
            </w:r>
          </w:p>
        </w:tc>
        <w:tc>
          <w:tcPr>
            <w:tcW w:w="425" w:type="pct"/>
            <w:gridSpan w:val="2"/>
            <w:vAlign w:val="center"/>
          </w:tcPr>
          <w:p w:rsidR="009F0BED" w:rsidRPr="00CF68D9" w:rsidRDefault="009F0BED" w:rsidP="009F0BED">
            <w:pPr>
              <w:spacing w:after="120"/>
              <w:jc w:val="center"/>
              <w:rPr>
                <w:color w:val="000000"/>
                <w:highlight w:val="yellow"/>
                <w:lang w:val="en-US"/>
              </w:rPr>
            </w:pPr>
            <w:r>
              <w:t>23</w:t>
            </w:r>
          </w:p>
        </w:tc>
        <w:tc>
          <w:tcPr>
            <w:tcW w:w="442" w:type="pct"/>
            <w:vAlign w:val="center"/>
          </w:tcPr>
          <w:p w:rsidR="009F0BED" w:rsidRPr="00CF68D9" w:rsidRDefault="009F0BED" w:rsidP="009F0BED">
            <w:pPr>
              <w:spacing w:after="120"/>
              <w:jc w:val="center"/>
              <w:rPr>
                <w:color w:val="000000"/>
                <w:highlight w:val="yellow"/>
                <w:lang w:val="en-US"/>
              </w:rPr>
            </w:pPr>
            <w:r>
              <w:rPr>
                <w:color w:val="000000"/>
                <w:lang w:val="en-US"/>
              </w:rPr>
              <w:t>3.052</w:t>
            </w:r>
          </w:p>
        </w:tc>
      </w:tr>
      <w:tr w:rsidR="009F0BED" w:rsidRPr="00AE1ED1" w:rsidTr="00AE6BFE">
        <w:trPr>
          <w:trHeight w:val="227"/>
          <w:jc w:val="center"/>
        </w:trPr>
        <w:tc>
          <w:tcPr>
            <w:tcW w:w="248" w:type="pct"/>
            <w:vAlign w:val="center"/>
          </w:tcPr>
          <w:p w:rsidR="009F0BED" w:rsidRPr="00BC007D" w:rsidRDefault="009F0BED" w:rsidP="009F0BED">
            <w:pPr>
              <w:jc w:val="center"/>
              <w:rPr>
                <w:lang w:val="en-US"/>
              </w:rPr>
            </w:pPr>
            <w:r>
              <w:rPr>
                <w:lang w:val="en-US"/>
              </w:rPr>
              <w:t>1</w:t>
            </w:r>
            <w:r w:rsidR="00AC5DA4">
              <w:rPr>
                <w:lang w:val="en-US"/>
              </w:rPr>
              <w:t>3</w:t>
            </w:r>
            <w:r w:rsidRPr="00BC007D">
              <w:rPr>
                <w:lang w:val="en-US"/>
              </w:rPr>
              <w:t>.</w:t>
            </w:r>
          </w:p>
        </w:tc>
        <w:tc>
          <w:tcPr>
            <w:tcW w:w="3389" w:type="pct"/>
            <w:gridSpan w:val="7"/>
            <w:shd w:val="clear" w:color="auto" w:fill="auto"/>
          </w:tcPr>
          <w:p w:rsidR="009F0BED" w:rsidRPr="00CF68D9" w:rsidRDefault="009F0BED" w:rsidP="00920311">
            <w:pPr>
              <w:jc w:val="both"/>
              <w:rPr>
                <w:b/>
                <w:color w:val="000000"/>
                <w:highlight w:val="yellow"/>
                <w:lang w:val="en-US"/>
              </w:rPr>
            </w:pPr>
            <w:proofErr w:type="spellStart"/>
            <w:r w:rsidRPr="002F31A6">
              <w:rPr>
                <w:rFonts w:eastAsia="Calibri"/>
                <w:lang w:val="en-US" w:eastAsia="en-US"/>
              </w:rPr>
              <w:t>Mikov</w:t>
            </w:r>
            <w:proofErr w:type="spellEnd"/>
            <w:r w:rsidRPr="002F31A6">
              <w:rPr>
                <w:rFonts w:eastAsia="Calibri"/>
                <w:lang w:val="en-US" w:eastAsia="en-US"/>
              </w:rPr>
              <w:t xml:space="preserve"> M, </w:t>
            </w:r>
            <w:proofErr w:type="spellStart"/>
            <w:r w:rsidRPr="002F31A6">
              <w:rPr>
                <w:rFonts w:eastAsia="Calibri"/>
                <w:lang w:val="en-US" w:eastAsia="en-US"/>
              </w:rPr>
              <w:t>Đanić</w:t>
            </w:r>
            <w:proofErr w:type="spellEnd"/>
            <w:r w:rsidRPr="002F31A6">
              <w:rPr>
                <w:rFonts w:eastAsia="Calibri"/>
                <w:lang w:val="en-US" w:eastAsia="en-US"/>
              </w:rPr>
              <w:t xml:space="preserve"> M, Pavlović N,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Goločorbin-Kon</w:t>
            </w:r>
            <w:proofErr w:type="spellEnd"/>
            <w:r w:rsidRPr="002F31A6">
              <w:rPr>
                <w:rFonts w:eastAsia="Calibri"/>
                <w:lang w:val="en-US" w:eastAsia="en-US"/>
              </w:rPr>
              <w:t xml:space="preserve"> S, </w:t>
            </w:r>
            <w:proofErr w:type="spellStart"/>
            <w:r w:rsidRPr="002F31A6">
              <w:rPr>
                <w:rFonts w:eastAsia="Calibri"/>
                <w:lang w:val="en-US" w:eastAsia="en-US"/>
              </w:rPr>
              <w:t>Stankov</w:t>
            </w:r>
            <w:proofErr w:type="spellEnd"/>
            <w:r w:rsidRPr="002F31A6">
              <w:rPr>
                <w:rFonts w:eastAsia="Calibri"/>
                <w:lang w:val="en-US" w:eastAsia="en-US"/>
              </w:rPr>
              <w:t xml:space="preserve"> K, </w:t>
            </w:r>
            <w:r w:rsidR="00920311">
              <w:rPr>
                <w:rFonts w:eastAsia="Calibri"/>
                <w:lang w:val="en-US" w:eastAsia="en-US"/>
              </w:rPr>
              <w:t>et al</w:t>
            </w:r>
            <w:r w:rsidRPr="002F31A6">
              <w:rPr>
                <w:rFonts w:eastAsia="Calibri"/>
                <w:lang w:val="en-US" w:eastAsia="en-US"/>
              </w:rPr>
              <w:t xml:space="preserve">. </w:t>
            </w:r>
            <w:hyperlink r:id="rId17" w:history="1">
              <w:r w:rsidRPr="00DF2E1A">
                <w:rPr>
                  <w:rStyle w:val="Hyperlink"/>
                  <w:rFonts w:eastAsia="Calibri"/>
                  <w:lang w:val="en-US" w:eastAsia="en-US"/>
                </w:rPr>
                <w:t>The Role of Drug Metabolites in the Inhibition of Cytochrome P450 Enzymes</w:t>
              </w:r>
            </w:hyperlink>
            <w:r w:rsidRPr="002F31A6">
              <w:rPr>
                <w:rFonts w:eastAsia="Calibri"/>
                <w:lang w:val="en-US" w:eastAsia="en-US"/>
              </w:rPr>
              <w:t xml:space="preserve">. </w:t>
            </w:r>
            <w:proofErr w:type="spellStart"/>
            <w:r w:rsidRPr="002F31A6">
              <w:rPr>
                <w:rFonts w:eastAsia="Calibri"/>
                <w:lang w:val="en-US" w:eastAsia="en-US"/>
              </w:rPr>
              <w:t>Eur</w:t>
            </w:r>
            <w:proofErr w:type="spellEnd"/>
            <w:r w:rsidRPr="002F31A6">
              <w:rPr>
                <w:rFonts w:eastAsia="Calibri"/>
                <w:lang w:val="en-US" w:eastAsia="en-US"/>
              </w:rPr>
              <w:t xml:space="preserve"> J Drug </w:t>
            </w:r>
            <w:proofErr w:type="spellStart"/>
            <w:r w:rsidRPr="002F31A6">
              <w:rPr>
                <w:rFonts w:eastAsia="Calibri"/>
                <w:lang w:val="en-US" w:eastAsia="en-US"/>
              </w:rPr>
              <w:t>Metab</w:t>
            </w:r>
            <w:proofErr w:type="spellEnd"/>
            <w:r w:rsidRPr="002F31A6">
              <w:rPr>
                <w:rFonts w:eastAsia="Calibri"/>
                <w:lang w:val="en-US" w:eastAsia="en-US"/>
              </w:rPr>
              <w:t xml:space="preserve"> </w:t>
            </w:r>
            <w:proofErr w:type="spellStart"/>
            <w:r w:rsidRPr="002F31A6">
              <w:rPr>
                <w:rFonts w:eastAsia="Calibri"/>
                <w:lang w:val="en-US" w:eastAsia="en-US"/>
              </w:rPr>
              <w:t>Pharmacokinet</w:t>
            </w:r>
            <w:proofErr w:type="spellEnd"/>
            <w:r w:rsidRPr="002F31A6">
              <w:rPr>
                <w:rFonts w:eastAsia="Calibri"/>
                <w:lang w:val="en-US" w:eastAsia="en-US"/>
              </w:rPr>
              <w:t>. 2017;42(6):881-90.</w:t>
            </w:r>
          </w:p>
        </w:tc>
        <w:tc>
          <w:tcPr>
            <w:tcW w:w="496" w:type="pct"/>
            <w:gridSpan w:val="2"/>
            <w:vAlign w:val="center"/>
          </w:tcPr>
          <w:p w:rsidR="009F0BED" w:rsidRPr="00CF68D9" w:rsidRDefault="009F0BED" w:rsidP="009F0BED">
            <w:pPr>
              <w:jc w:val="center"/>
              <w:rPr>
                <w:color w:val="000000"/>
                <w:highlight w:val="yellow"/>
                <w:lang w:val="en-US"/>
              </w:rPr>
            </w:pPr>
            <w:r>
              <w:rPr>
                <w:color w:val="000000"/>
                <w:lang w:val="en-US"/>
              </w:rPr>
              <w:t>221/21</w:t>
            </w:r>
          </w:p>
        </w:tc>
        <w:tc>
          <w:tcPr>
            <w:tcW w:w="425" w:type="pct"/>
            <w:gridSpan w:val="2"/>
            <w:vAlign w:val="center"/>
          </w:tcPr>
          <w:p w:rsidR="009F0BED" w:rsidRPr="00CF68D9" w:rsidRDefault="009F0BED" w:rsidP="009F0BED">
            <w:pPr>
              <w:jc w:val="center"/>
              <w:rPr>
                <w:color w:val="000000"/>
                <w:highlight w:val="yellow"/>
                <w:lang w:val="en-US"/>
              </w:rPr>
            </w:pPr>
            <w:r>
              <w:rPr>
                <w:color w:val="000000"/>
                <w:lang w:val="en-US"/>
              </w:rPr>
              <w:t>23</w:t>
            </w:r>
          </w:p>
        </w:tc>
        <w:tc>
          <w:tcPr>
            <w:tcW w:w="442" w:type="pct"/>
            <w:vAlign w:val="center"/>
          </w:tcPr>
          <w:p w:rsidR="009F0BED" w:rsidRPr="00CF68D9" w:rsidRDefault="009F0BED" w:rsidP="009F0BED">
            <w:pPr>
              <w:jc w:val="center"/>
              <w:rPr>
                <w:color w:val="000000"/>
                <w:highlight w:val="yellow"/>
                <w:lang w:val="en-US"/>
              </w:rPr>
            </w:pPr>
            <w:r>
              <w:rPr>
                <w:color w:val="000000"/>
                <w:lang w:val="en-US"/>
              </w:rPr>
              <w:t>1.362</w:t>
            </w:r>
          </w:p>
        </w:tc>
      </w:tr>
      <w:tr w:rsidR="009F0BED" w:rsidRPr="00AE1ED1" w:rsidTr="00AE6BFE">
        <w:trPr>
          <w:trHeight w:val="227"/>
          <w:jc w:val="center"/>
        </w:trPr>
        <w:tc>
          <w:tcPr>
            <w:tcW w:w="248" w:type="pct"/>
            <w:vAlign w:val="center"/>
          </w:tcPr>
          <w:p w:rsidR="009F0BED" w:rsidRPr="00BC007D" w:rsidRDefault="009F0BED" w:rsidP="009F0BED">
            <w:pPr>
              <w:jc w:val="center"/>
              <w:rPr>
                <w:lang w:val="en-US"/>
              </w:rPr>
            </w:pPr>
            <w:r>
              <w:rPr>
                <w:lang w:val="en-US"/>
              </w:rPr>
              <w:t>1</w:t>
            </w:r>
            <w:r w:rsidR="00AC5DA4">
              <w:rPr>
                <w:lang w:val="en-US"/>
              </w:rPr>
              <w:t>4</w:t>
            </w:r>
            <w:r w:rsidRPr="00BC007D">
              <w:rPr>
                <w:lang w:val="en-US"/>
              </w:rPr>
              <w:t>.</w:t>
            </w:r>
          </w:p>
        </w:tc>
        <w:tc>
          <w:tcPr>
            <w:tcW w:w="3389" w:type="pct"/>
            <w:gridSpan w:val="7"/>
            <w:shd w:val="clear" w:color="auto" w:fill="auto"/>
          </w:tcPr>
          <w:p w:rsidR="009F0BED" w:rsidRPr="00CF68D9" w:rsidRDefault="00920311" w:rsidP="00920311">
            <w:pPr>
              <w:jc w:val="both"/>
              <w:rPr>
                <w:color w:val="000000"/>
                <w:highlight w:val="yellow"/>
                <w:lang w:val="en-US"/>
              </w:rPr>
            </w:pPr>
            <w:proofErr w:type="spellStart"/>
            <w:r>
              <w:rPr>
                <w:rFonts w:eastAsia="Calibri"/>
                <w:lang w:val="en-US" w:eastAsia="en-US"/>
              </w:rPr>
              <w:t>Đ</w:t>
            </w:r>
            <w:r w:rsidR="009F0BED" w:rsidRPr="002F31A6">
              <w:rPr>
                <w:rFonts w:eastAsia="Calibri"/>
                <w:lang w:val="en-US" w:eastAsia="en-US"/>
              </w:rPr>
              <w:t>ani</w:t>
            </w:r>
            <w:r>
              <w:rPr>
                <w:rFonts w:eastAsia="Calibri"/>
                <w:lang w:val="en-US" w:eastAsia="en-US"/>
              </w:rPr>
              <w:t>ć</w:t>
            </w:r>
            <w:proofErr w:type="spellEnd"/>
            <w:r w:rsidR="009F0BED" w:rsidRPr="002F31A6">
              <w:rPr>
                <w:rFonts w:eastAsia="Calibri"/>
                <w:lang w:val="en-US" w:eastAsia="en-US"/>
              </w:rPr>
              <w:t xml:space="preserve"> M, </w:t>
            </w:r>
            <w:proofErr w:type="spellStart"/>
            <w:r w:rsidR="009F0BED" w:rsidRPr="002F31A6">
              <w:rPr>
                <w:rFonts w:eastAsia="Calibri"/>
                <w:lang w:val="en-US" w:eastAsia="en-US"/>
              </w:rPr>
              <w:t>Pavlovi</w:t>
            </w:r>
            <w:r>
              <w:rPr>
                <w:rFonts w:eastAsia="Calibri"/>
                <w:lang w:val="en-US" w:eastAsia="en-US"/>
              </w:rPr>
              <w:t>ć</w:t>
            </w:r>
            <w:proofErr w:type="spellEnd"/>
            <w:r w:rsidR="009F0BED" w:rsidRPr="002F31A6">
              <w:rPr>
                <w:rFonts w:eastAsia="Calibri"/>
                <w:lang w:val="en-US" w:eastAsia="en-US"/>
              </w:rPr>
              <w:t xml:space="preserve"> N, </w:t>
            </w:r>
            <w:proofErr w:type="spellStart"/>
            <w:r w:rsidR="009F0BED" w:rsidRPr="002F31A6">
              <w:rPr>
                <w:rFonts w:eastAsia="Calibri"/>
                <w:b/>
                <w:bCs/>
                <w:lang w:val="en-US" w:eastAsia="en-US"/>
              </w:rPr>
              <w:t>Stanimirov</w:t>
            </w:r>
            <w:proofErr w:type="spellEnd"/>
            <w:r w:rsidR="009F0BED" w:rsidRPr="002F31A6">
              <w:rPr>
                <w:rFonts w:eastAsia="Calibri"/>
                <w:b/>
                <w:bCs/>
                <w:lang w:val="en-US" w:eastAsia="en-US"/>
              </w:rPr>
              <w:t xml:space="preserve"> B</w:t>
            </w:r>
            <w:r w:rsidR="009F0BED" w:rsidRPr="002F31A6">
              <w:rPr>
                <w:rFonts w:eastAsia="Calibri"/>
                <w:lang w:val="en-US" w:eastAsia="en-US"/>
              </w:rPr>
              <w:t xml:space="preserve">, </w:t>
            </w:r>
            <w:proofErr w:type="spellStart"/>
            <w:r w:rsidR="009F0BED" w:rsidRPr="002F31A6">
              <w:rPr>
                <w:rFonts w:eastAsia="Calibri"/>
                <w:lang w:val="en-US" w:eastAsia="en-US"/>
              </w:rPr>
              <w:t>Stojan</w:t>
            </w:r>
            <w:r>
              <w:rPr>
                <w:rFonts w:eastAsia="Calibri"/>
                <w:lang w:val="en-US" w:eastAsia="en-US"/>
              </w:rPr>
              <w:t>č</w:t>
            </w:r>
            <w:r w:rsidR="009F0BED" w:rsidRPr="002F31A6">
              <w:rPr>
                <w:rFonts w:eastAsia="Calibri"/>
                <w:lang w:val="en-US" w:eastAsia="en-US"/>
              </w:rPr>
              <w:t>evi</w:t>
            </w:r>
            <w:r>
              <w:rPr>
                <w:rFonts w:eastAsia="Calibri"/>
                <w:lang w:val="en-US" w:eastAsia="en-US"/>
              </w:rPr>
              <w:t>ć</w:t>
            </w:r>
            <w:proofErr w:type="spellEnd"/>
            <w:r w:rsidR="009F0BED" w:rsidRPr="002F31A6">
              <w:rPr>
                <w:rFonts w:eastAsia="Calibri"/>
                <w:lang w:val="en-US" w:eastAsia="en-US"/>
              </w:rPr>
              <w:t xml:space="preserve"> T, </w:t>
            </w:r>
            <w:proofErr w:type="spellStart"/>
            <w:r w:rsidR="009F0BED" w:rsidRPr="002F31A6">
              <w:rPr>
                <w:rFonts w:eastAsia="Calibri"/>
                <w:lang w:val="en-US" w:eastAsia="en-US"/>
              </w:rPr>
              <w:t>Golo</w:t>
            </w:r>
            <w:r>
              <w:rPr>
                <w:rFonts w:eastAsia="Calibri"/>
                <w:lang w:val="en-US" w:eastAsia="en-US"/>
              </w:rPr>
              <w:t>č</w:t>
            </w:r>
            <w:r w:rsidR="009F0BED" w:rsidRPr="002F31A6">
              <w:rPr>
                <w:rFonts w:eastAsia="Calibri"/>
                <w:lang w:val="en-US" w:eastAsia="en-US"/>
              </w:rPr>
              <w:t>orbin</w:t>
            </w:r>
            <w:proofErr w:type="spellEnd"/>
            <w:r w:rsidR="009F0BED" w:rsidRPr="002F31A6">
              <w:rPr>
                <w:rFonts w:eastAsia="Calibri"/>
                <w:lang w:val="en-US" w:eastAsia="en-US"/>
              </w:rPr>
              <w:t xml:space="preserve"> </w:t>
            </w:r>
            <w:proofErr w:type="spellStart"/>
            <w:r w:rsidR="009F0BED" w:rsidRPr="002F31A6">
              <w:rPr>
                <w:rFonts w:eastAsia="Calibri"/>
                <w:lang w:val="en-US" w:eastAsia="en-US"/>
              </w:rPr>
              <w:t>Kon</w:t>
            </w:r>
            <w:proofErr w:type="spellEnd"/>
            <w:r w:rsidR="009F0BED" w:rsidRPr="002F31A6">
              <w:rPr>
                <w:rFonts w:eastAsia="Calibri"/>
                <w:lang w:val="en-US" w:eastAsia="en-US"/>
              </w:rPr>
              <w:t xml:space="preserve"> S, </w:t>
            </w:r>
            <w:proofErr w:type="spellStart"/>
            <w:r w:rsidR="009F0BED" w:rsidRPr="002F31A6">
              <w:rPr>
                <w:rFonts w:eastAsia="Calibri"/>
                <w:lang w:val="en-US" w:eastAsia="en-US"/>
              </w:rPr>
              <w:t>Mikov</w:t>
            </w:r>
            <w:proofErr w:type="spellEnd"/>
            <w:r w:rsidR="009F0BED" w:rsidRPr="002F31A6">
              <w:rPr>
                <w:rFonts w:eastAsia="Calibri"/>
                <w:lang w:val="en-US" w:eastAsia="en-US"/>
              </w:rPr>
              <w:t xml:space="preserve"> M. </w:t>
            </w:r>
            <w:hyperlink r:id="rId18" w:history="1">
              <w:r w:rsidR="009F0BED" w:rsidRPr="00250C29">
                <w:rPr>
                  <w:rStyle w:val="Hyperlink"/>
                  <w:rFonts w:eastAsia="Calibri"/>
                  <w:lang w:val="en-US" w:eastAsia="en-US"/>
                </w:rPr>
                <w:t>Docking-based preliminary study on the interactions of bile acids with drugs at the transporter level in intestinal bacteria</w:t>
              </w:r>
            </w:hyperlink>
            <w:r w:rsidR="009F0BED" w:rsidRPr="002F31A6">
              <w:rPr>
                <w:rFonts w:eastAsia="Calibri"/>
                <w:lang w:val="en-US" w:eastAsia="en-US"/>
              </w:rPr>
              <w:t xml:space="preserve">. </w:t>
            </w:r>
            <w:proofErr w:type="spellStart"/>
            <w:r w:rsidR="009F0BED" w:rsidRPr="002F31A6">
              <w:rPr>
                <w:rFonts w:eastAsia="Calibri"/>
                <w:lang w:val="en-US" w:eastAsia="en-US"/>
              </w:rPr>
              <w:t>Eur</w:t>
            </w:r>
            <w:proofErr w:type="spellEnd"/>
            <w:r w:rsidR="009F0BED" w:rsidRPr="002F31A6">
              <w:rPr>
                <w:rFonts w:eastAsia="Calibri"/>
                <w:lang w:val="en-US" w:eastAsia="en-US"/>
              </w:rPr>
              <w:t xml:space="preserve"> Rev Med </w:t>
            </w:r>
            <w:proofErr w:type="spellStart"/>
            <w:r w:rsidR="009F0BED" w:rsidRPr="002F31A6">
              <w:rPr>
                <w:rFonts w:eastAsia="Calibri"/>
                <w:lang w:val="en-US" w:eastAsia="en-US"/>
              </w:rPr>
              <w:t>Pharmacol</w:t>
            </w:r>
            <w:proofErr w:type="spellEnd"/>
            <w:r w:rsidR="009F0BED" w:rsidRPr="002F31A6">
              <w:rPr>
                <w:rFonts w:eastAsia="Calibri"/>
                <w:lang w:val="en-US" w:eastAsia="en-US"/>
              </w:rPr>
              <w:t xml:space="preserve"> Sci. 2016;20(3):553-60.</w:t>
            </w:r>
          </w:p>
        </w:tc>
        <w:tc>
          <w:tcPr>
            <w:tcW w:w="496" w:type="pct"/>
            <w:gridSpan w:val="2"/>
            <w:vAlign w:val="center"/>
          </w:tcPr>
          <w:p w:rsidR="009F0BED" w:rsidRDefault="009F0BED" w:rsidP="009F0BED">
            <w:pPr>
              <w:jc w:val="center"/>
            </w:pPr>
          </w:p>
          <w:p w:rsidR="009F0BED" w:rsidRDefault="009F0BED" w:rsidP="009F0BED">
            <w:pPr>
              <w:jc w:val="center"/>
            </w:pPr>
            <w:r>
              <w:t>180/256</w:t>
            </w:r>
          </w:p>
          <w:p w:rsidR="009F0BED" w:rsidRPr="00CF68D9" w:rsidRDefault="009F0BED" w:rsidP="009F0BED">
            <w:pPr>
              <w:jc w:val="center"/>
              <w:rPr>
                <w:color w:val="000000"/>
                <w:highlight w:val="yellow"/>
                <w:lang w:val="en-US"/>
              </w:rPr>
            </w:pPr>
          </w:p>
        </w:tc>
        <w:tc>
          <w:tcPr>
            <w:tcW w:w="425" w:type="pct"/>
            <w:gridSpan w:val="2"/>
            <w:vAlign w:val="center"/>
          </w:tcPr>
          <w:p w:rsidR="009F0BED" w:rsidRPr="00CF68D9" w:rsidRDefault="009F0BED" w:rsidP="009F0BED">
            <w:pPr>
              <w:jc w:val="center"/>
              <w:rPr>
                <w:color w:val="000000"/>
                <w:highlight w:val="yellow"/>
                <w:lang w:val="en-US"/>
              </w:rPr>
            </w:pPr>
            <w:r>
              <w:rPr>
                <w:color w:val="000000"/>
                <w:lang w:val="en-US"/>
              </w:rPr>
              <w:t>23</w:t>
            </w:r>
          </w:p>
        </w:tc>
        <w:tc>
          <w:tcPr>
            <w:tcW w:w="442" w:type="pct"/>
            <w:vAlign w:val="center"/>
          </w:tcPr>
          <w:p w:rsidR="009F0BED" w:rsidRPr="00CF68D9" w:rsidRDefault="009F0BED" w:rsidP="009F0BED">
            <w:pPr>
              <w:jc w:val="center"/>
              <w:rPr>
                <w:color w:val="000000"/>
                <w:highlight w:val="yellow"/>
                <w:lang w:val="en-US"/>
              </w:rPr>
            </w:pPr>
            <w:r>
              <w:t>1.778</w:t>
            </w:r>
          </w:p>
        </w:tc>
      </w:tr>
      <w:tr w:rsidR="009F0BED" w:rsidRPr="00AE1ED1" w:rsidTr="00AE6BFE">
        <w:trPr>
          <w:trHeight w:val="227"/>
          <w:jc w:val="center"/>
        </w:trPr>
        <w:tc>
          <w:tcPr>
            <w:tcW w:w="248" w:type="pct"/>
            <w:vAlign w:val="center"/>
          </w:tcPr>
          <w:p w:rsidR="009F0BED" w:rsidRPr="00BC007D" w:rsidRDefault="009F0BED" w:rsidP="009F0BED">
            <w:pPr>
              <w:jc w:val="center"/>
              <w:rPr>
                <w:lang w:val="en-US"/>
              </w:rPr>
            </w:pPr>
            <w:r>
              <w:rPr>
                <w:lang w:val="en-US"/>
              </w:rPr>
              <w:t>1</w:t>
            </w:r>
            <w:r w:rsidR="00AC5DA4">
              <w:rPr>
                <w:lang w:val="en-US"/>
              </w:rPr>
              <w:t>5</w:t>
            </w:r>
            <w:r w:rsidRPr="00BC007D">
              <w:rPr>
                <w:lang w:val="en-US"/>
              </w:rPr>
              <w:t>.</w:t>
            </w:r>
          </w:p>
        </w:tc>
        <w:tc>
          <w:tcPr>
            <w:tcW w:w="3389" w:type="pct"/>
            <w:gridSpan w:val="7"/>
            <w:shd w:val="clear" w:color="auto" w:fill="auto"/>
          </w:tcPr>
          <w:p w:rsidR="009F0BED" w:rsidRPr="00CF68D9" w:rsidRDefault="009F0BED" w:rsidP="009F0BED">
            <w:pPr>
              <w:jc w:val="both"/>
              <w:rPr>
                <w:color w:val="000000"/>
                <w:highlight w:val="yellow"/>
                <w:lang w:val="en-US"/>
              </w:rPr>
            </w:pPr>
            <w:r w:rsidRPr="002F31A6">
              <w:rPr>
                <w:rFonts w:eastAsia="Calibri"/>
                <w:b/>
                <w:bCs/>
                <w:lang w:val="en-US" w:eastAsia="en-US"/>
              </w:rPr>
              <w:t>Stanimirov B</w:t>
            </w:r>
            <w:r w:rsidRPr="002F31A6">
              <w:rPr>
                <w:rFonts w:eastAsia="Calibri"/>
                <w:lang w:val="en-US" w:eastAsia="en-US"/>
              </w:rPr>
              <w:t xml:space="preserve">, </w:t>
            </w:r>
            <w:proofErr w:type="spellStart"/>
            <w:r w:rsidRPr="002F31A6">
              <w:rPr>
                <w:rFonts w:eastAsia="Calibri"/>
                <w:lang w:val="en-US" w:eastAsia="en-US"/>
              </w:rPr>
              <w:t>Stankov</w:t>
            </w:r>
            <w:proofErr w:type="spellEnd"/>
            <w:r w:rsidRPr="002F31A6">
              <w:rPr>
                <w:rFonts w:eastAsia="Calibri"/>
                <w:lang w:val="en-US" w:eastAsia="en-US"/>
              </w:rPr>
              <w:t xml:space="preserve"> K, </w:t>
            </w:r>
            <w:proofErr w:type="spellStart"/>
            <w:r w:rsidRPr="002F31A6">
              <w:rPr>
                <w:rFonts w:eastAsia="Calibri"/>
                <w:lang w:val="en-US" w:eastAsia="en-US"/>
              </w:rPr>
              <w:t>Mikov</w:t>
            </w:r>
            <w:proofErr w:type="spellEnd"/>
            <w:r w:rsidRPr="002F31A6">
              <w:rPr>
                <w:rFonts w:eastAsia="Calibri"/>
                <w:lang w:val="en-US" w:eastAsia="en-US"/>
              </w:rPr>
              <w:t xml:space="preserve"> M. </w:t>
            </w:r>
            <w:hyperlink r:id="rId19" w:history="1">
              <w:r w:rsidRPr="00DF2E1A">
                <w:rPr>
                  <w:rStyle w:val="Hyperlink"/>
                  <w:rFonts w:eastAsia="Calibri"/>
                  <w:lang w:val="en-US" w:eastAsia="en-US"/>
                </w:rPr>
                <w:t xml:space="preserve">Bile acid signaling through </w:t>
              </w:r>
              <w:proofErr w:type="spellStart"/>
              <w:r w:rsidRPr="00DF2E1A">
                <w:rPr>
                  <w:rStyle w:val="Hyperlink"/>
                  <w:rFonts w:eastAsia="Calibri"/>
                  <w:lang w:val="en-US" w:eastAsia="en-US"/>
                </w:rPr>
                <w:t>fanesoid</w:t>
              </w:r>
              <w:proofErr w:type="spellEnd"/>
              <w:r w:rsidRPr="00DF2E1A">
                <w:rPr>
                  <w:rStyle w:val="Hyperlink"/>
                  <w:rFonts w:eastAsia="Calibri"/>
                  <w:lang w:val="en-US" w:eastAsia="en-US"/>
                </w:rPr>
                <w:t xml:space="preserve"> X and TGR5 receptors in hepatobiliary and intestinal diseases</w:t>
              </w:r>
            </w:hyperlink>
            <w:r w:rsidRPr="002F31A6">
              <w:rPr>
                <w:rFonts w:eastAsia="Calibri"/>
                <w:lang w:val="en-US" w:eastAsia="en-US"/>
              </w:rPr>
              <w:t xml:space="preserve">. </w:t>
            </w:r>
            <w:proofErr w:type="spellStart"/>
            <w:r w:rsidRPr="002F31A6">
              <w:rPr>
                <w:rFonts w:eastAsia="Calibri"/>
                <w:lang w:val="en-US" w:eastAsia="en-US"/>
              </w:rPr>
              <w:t>Hepatobiliary</w:t>
            </w:r>
            <w:proofErr w:type="spellEnd"/>
            <w:r w:rsidRPr="002F31A6">
              <w:rPr>
                <w:rFonts w:eastAsia="Calibri"/>
                <w:lang w:val="en-US" w:eastAsia="en-US"/>
              </w:rPr>
              <w:t xml:space="preserve"> </w:t>
            </w:r>
            <w:proofErr w:type="spellStart"/>
            <w:r w:rsidRPr="002F31A6">
              <w:rPr>
                <w:rFonts w:eastAsia="Calibri"/>
                <w:lang w:val="en-US" w:eastAsia="en-US"/>
              </w:rPr>
              <w:t>Pancreat</w:t>
            </w:r>
            <w:proofErr w:type="spellEnd"/>
            <w:r w:rsidRPr="002F31A6">
              <w:rPr>
                <w:rFonts w:eastAsia="Calibri"/>
                <w:lang w:val="en-US" w:eastAsia="en-US"/>
              </w:rPr>
              <w:t xml:space="preserve"> </w:t>
            </w:r>
            <w:proofErr w:type="spellStart"/>
            <w:r w:rsidRPr="002F31A6">
              <w:rPr>
                <w:rFonts w:eastAsia="Calibri"/>
                <w:lang w:val="en-US" w:eastAsia="en-US"/>
              </w:rPr>
              <w:t>Dis</w:t>
            </w:r>
            <w:proofErr w:type="spellEnd"/>
            <w:r w:rsidRPr="002F31A6">
              <w:rPr>
                <w:rFonts w:eastAsia="Calibri"/>
                <w:lang w:val="en-US" w:eastAsia="en-US"/>
              </w:rPr>
              <w:t xml:space="preserve"> Int. 2015;14(1):18-33.</w:t>
            </w:r>
          </w:p>
        </w:tc>
        <w:tc>
          <w:tcPr>
            <w:tcW w:w="496" w:type="pct"/>
            <w:gridSpan w:val="2"/>
            <w:vAlign w:val="center"/>
          </w:tcPr>
          <w:p w:rsidR="009F0BED" w:rsidRPr="00CF68D9" w:rsidRDefault="009F0BED" w:rsidP="009F0BED">
            <w:pPr>
              <w:spacing w:after="120"/>
              <w:jc w:val="center"/>
              <w:rPr>
                <w:color w:val="000000"/>
                <w:highlight w:val="yellow"/>
                <w:lang w:val="en-US"/>
              </w:rPr>
            </w:pPr>
            <w:r w:rsidRPr="000273B8">
              <w:rPr>
                <w:color w:val="000000"/>
                <w:lang w:val="en-US"/>
              </w:rPr>
              <w:t>66/79</w:t>
            </w:r>
          </w:p>
        </w:tc>
        <w:tc>
          <w:tcPr>
            <w:tcW w:w="425" w:type="pct"/>
            <w:gridSpan w:val="2"/>
            <w:vAlign w:val="center"/>
          </w:tcPr>
          <w:p w:rsidR="009F0BED" w:rsidRPr="00CF68D9" w:rsidRDefault="009F0BED" w:rsidP="009F0BED">
            <w:pPr>
              <w:spacing w:after="120"/>
              <w:jc w:val="center"/>
              <w:rPr>
                <w:color w:val="000000"/>
                <w:highlight w:val="yellow"/>
                <w:lang w:val="en-US"/>
              </w:rPr>
            </w:pPr>
            <w:r>
              <w:rPr>
                <w:color w:val="000000"/>
                <w:lang w:val="en-US"/>
              </w:rPr>
              <w:t>23</w:t>
            </w:r>
          </w:p>
        </w:tc>
        <w:tc>
          <w:tcPr>
            <w:tcW w:w="442" w:type="pct"/>
            <w:vAlign w:val="center"/>
          </w:tcPr>
          <w:p w:rsidR="009F0BED" w:rsidRPr="00CF68D9" w:rsidRDefault="009F0BED" w:rsidP="009F0BED">
            <w:pPr>
              <w:spacing w:after="120"/>
              <w:jc w:val="center"/>
              <w:rPr>
                <w:color w:val="000000"/>
                <w:highlight w:val="yellow"/>
                <w:lang w:val="en-US"/>
              </w:rPr>
            </w:pPr>
            <w:r w:rsidRPr="000273B8">
              <w:rPr>
                <w:color w:val="000000"/>
                <w:lang w:val="en-US"/>
              </w:rPr>
              <w:t>1.724</w:t>
            </w:r>
          </w:p>
        </w:tc>
      </w:tr>
      <w:tr w:rsidR="009F0BED" w:rsidRPr="00AE1ED1" w:rsidTr="00AE6BFE">
        <w:trPr>
          <w:trHeight w:val="227"/>
          <w:jc w:val="center"/>
        </w:trPr>
        <w:tc>
          <w:tcPr>
            <w:tcW w:w="248" w:type="pct"/>
            <w:vAlign w:val="center"/>
          </w:tcPr>
          <w:p w:rsidR="009F0BED" w:rsidRPr="00BC007D" w:rsidRDefault="009F0BED" w:rsidP="009F0BED">
            <w:pPr>
              <w:jc w:val="center"/>
              <w:rPr>
                <w:lang w:val="en-US"/>
              </w:rPr>
            </w:pPr>
            <w:r>
              <w:rPr>
                <w:lang w:val="en-US"/>
              </w:rPr>
              <w:t>1</w:t>
            </w:r>
            <w:r w:rsidR="00AC5DA4">
              <w:rPr>
                <w:lang w:val="en-US"/>
              </w:rPr>
              <w:t>6</w:t>
            </w:r>
            <w:r w:rsidRPr="00BC007D">
              <w:rPr>
                <w:lang w:val="en-US"/>
              </w:rPr>
              <w:t>.</w:t>
            </w:r>
          </w:p>
        </w:tc>
        <w:tc>
          <w:tcPr>
            <w:tcW w:w="3389" w:type="pct"/>
            <w:gridSpan w:val="7"/>
            <w:shd w:val="clear" w:color="auto" w:fill="auto"/>
          </w:tcPr>
          <w:p w:rsidR="009F0BED" w:rsidRPr="00CF68D9" w:rsidRDefault="009F0BED" w:rsidP="00920311">
            <w:pPr>
              <w:jc w:val="both"/>
              <w:rPr>
                <w:b/>
                <w:color w:val="000000"/>
                <w:highlight w:val="yellow"/>
                <w:lang w:val="fr-FR"/>
              </w:rPr>
            </w:pPr>
            <w:r w:rsidRPr="002F31A6">
              <w:rPr>
                <w:rFonts w:eastAsia="Calibri"/>
                <w:lang w:val="en-US" w:eastAsia="en-US"/>
              </w:rPr>
              <w:t xml:space="preserve">Đanić M, Pavlović N, </w:t>
            </w:r>
            <w:proofErr w:type="spellStart"/>
            <w:r w:rsidRPr="002F31A6">
              <w:rPr>
                <w:rFonts w:eastAsia="Calibri"/>
                <w:b/>
                <w:bCs/>
                <w:lang w:val="en-US" w:eastAsia="en-US"/>
              </w:rPr>
              <w:t>Stanimirov</w:t>
            </w:r>
            <w:proofErr w:type="spellEnd"/>
            <w:r w:rsidRPr="002F31A6">
              <w:rPr>
                <w:rFonts w:eastAsia="Calibri"/>
                <w:b/>
                <w:bCs/>
                <w:lang w:val="en-US" w:eastAsia="en-US"/>
              </w:rPr>
              <w:t xml:space="preserve"> B</w:t>
            </w:r>
            <w:r w:rsidRPr="002F31A6">
              <w:rPr>
                <w:rFonts w:eastAsia="Calibri"/>
                <w:lang w:val="en-US" w:eastAsia="en-US"/>
              </w:rPr>
              <w:t xml:space="preserve">, </w:t>
            </w:r>
            <w:proofErr w:type="spellStart"/>
            <w:r w:rsidRPr="002F31A6">
              <w:rPr>
                <w:rFonts w:eastAsia="Calibri"/>
                <w:lang w:val="en-US" w:eastAsia="en-US"/>
              </w:rPr>
              <w:t>Vukmirović</w:t>
            </w:r>
            <w:proofErr w:type="spellEnd"/>
            <w:r w:rsidRPr="002F31A6">
              <w:rPr>
                <w:rFonts w:eastAsia="Calibri"/>
                <w:lang w:val="en-US" w:eastAsia="en-US"/>
              </w:rPr>
              <w:t xml:space="preserve"> S, </w:t>
            </w:r>
            <w:proofErr w:type="spellStart"/>
            <w:r w:rsidRPr="002F31A6">
              <w:rPr>
                <w:rFonts w:eastAsia="Calibri"/>
                <w:lang w:val="en-US" w:eastAsia="en-US"/>
              </w:rPr>
              <w:t>Nikolić</w:t>
            </w:r>
            <w:proofErr w:type="spellEnd"/>
            <w:r w:rsidRPr="002F31A6">
              <w:rPr>
                <w:rFonts w:eastAsia="Calibri"/>
                <w:lang w:val="en-US" w:eastAsia="en-US"/>
              </w:rPr>
              <w:t xml:space="preserve"> K, </w:t>
            </w:r>
            <w:proofErr w:type="spellStart"/>
            <w:r w:rsidRPr="002F31A6">
              <w:rPr>
                <w:rFonts w:eastAsia="Calibri"/>
                <w:lang w:val="en-US" w:eastAsia="en-US"/>
              </w:rPr>
              <w:t>Agbaba</w:t>
            </w:r>
            <w:proofErr w:type="spellEnd"/>
            <w:r w:rsidRPr="002F31A6">
              <w:rPr>
                <w:rFonts w:eastAsia="Calibri"/>
                <w:lang w:val="en-US" w:eastAsia="en-US"/>
              </w:rPr>
              <w:t xml:space="preserve"> D, </w:t>
            </w:r>
            <w:r w:rsidR="00920311">
              <w:rPr>
                <w:rFonts w:eastAsia="Calibri"/>
                <w:lang w:val="en-US" w:eastAsia="en-US"/>
              </w:rPr>
              <w:t>et al</w:t>
            </w:r>
            <w:r w:rsidRPr="002F31A6">
              <w:rPr>
                <w:rFonts w:eastAsia="Calibri"/>
                <w:lang w:val="en-US" w:eastAsia="en-US"/>
              </w:rPr>
              <w:t xml:space="preserve">. </w:t>
            </w:r>
            <w:hyperlink r:id="rId20" w:history="1">
              <w:r w:rsidRPr="00250C29">
                <w:rPr>
                  <w:rStyle w:val="Hyperlink"/>
                  <w:rFonts w:eastAsia="Calibri"/>
                  <w:lang w:val="en-US" w:eastAsia="en-US"/>
                </w:rPr>
                <w:t xml:space="preserve">The influence of </w:t>
              </w:r>
              <w:proofErr w:type="spellStart"/>
              <w:r w:rsidRPr="00250C29">
                <w:rPr>
                  <w:rStyle w:val="Hyperlink"/>
                  <w:rFonts w:eastAsia="Calibri"/>
                  <w:lang w:val="en-US" w:eastAsia="en-US"/>
                </w:rPr>
                <w:t>bilesalts</w:t>
              </w:r>
              <w:proofErr w:type="spellEnd"/>
              <w:r w:rsidRPr="00250C29">
                <w:rPr>
                  <w:rStyle w:val="Hyperlink"/>
                  <w:rFonts w:eastAsia="Calibri"/>
                  <w:lang w:val="en-US" w:eastAsia="en-US"/>
                </w:rPr>
                <w:t xml:space="preserve"> on the distribution of simvastatin in the octanol/buffer system</w:t>
              </w:r>
            </w:hyperlink>
            <w:r w:rsidRPr="002F31A6">
              <w:rPr>
                <w:rFonts w:eastAsia="Calibri"/>
                <w:lang w:val="en-US" w:eastAsia="en-US"/>
              </w:rPr>
              <w:t>. Drug Dev Ind Pharm. 2015;</w:t>
            </w:r>
            <w:r>
              <w:rPr>
                <w:rFonts w:eastAsia="Calibri"/>
                <w:lang w:val="en-US" w:eastAsia="en-US"/>
              </w:rPr>
              <w:t>42(4)</w:t>
            </w:r>
            <w:r w:rsidRPr="002F31A6">
              <w:rPr>
                <w:rFonts w:eastAsia="Calibri"/>
                <w:lang w:val="en-US" w:eastAsia="en-US"/>
              </w:rPr>
              <w:t>:</w:t>
            </w:r>
            <w:r>
              <w:rPr>
                <w:rFonts w:eastAsia="Calibri"/>
                <w:lang w:val="en-US" w:eastAsia="en-US"/>
              </w:rPr>
              <w:t>66</w:t>
            </w:r>
            <w:r w:rsidRPr="002F31A6">
              <w:rPr>
                <w:rFonts w:eastAsia="Calibri"/>
                <w:lang w:val="en-US" w:eastAsia="en-US"/>
              </w:rPr>
              <w:t>1-7.</w:t>
            </w:r>
          </w:p>
        </w:tc>
        <w:tc>
          <w:tcPr>
            <w:tcW w:w="496" w:type="pct"/>
            <w:gridSpan w:val="2"/>
            <w:vAlign w:val="center"/>
          </w:tcPr>
          <w:p w:rsidR="009F0BED" w:rsidRPr="00CF68D9" w:rsidRDefault="009F0BED" w:rsidP="009F0BED">
            <w:pPr>
              <w:spacing w:after="120"/>
              <w:jc w:val="center"/>
              <w:rPr>
                <w:color w:val="000000"/>
                <w:highlight w:val="yellow"/>
                <w:lang w:val="en-US"/>
              </w:rPr>
            </w:pPr>
            <w:r>
              <w:rPr>
                <w:color w:val="000000"/>
                <w:lang w:val="en-US"/>
              </w:rPr>
              <w:t>140/257</w:t>
            </w:r>
          </w:p>
        </w:tc>
        <w:tc>
          <w:tcPr>
            <w:tcW w:w="425" w:type="pct"/>
            <w:gridSpan w:val="2"/>
            <w:vAlign w:val="center"/>
          </w:tcPr>
          <w:p w:rsidR="009F0BED" w:rsidRPr="00CF68D9" w:rsidRDefault="009F0BED" w:rsidP="009F0BED">
            <w:pPr>
              <w:spacing w:after="120"/>
              <w:jc w:val="center"/>
              <w:rPr>
                <w:color w:val="000000"/>
                <w:highlight w:val="yellow"/>
                <w:lang w:val="en-US"/>
              </w:rPr>
            </w:pPr>
            <w:r>
              <w:rPr>
                <w:color w:val="000000"/>
                <w:lang w:val="en-US"/>
              </w:rPr>
              <w:t>22</w:t>
            </w:r>
          </w:p>
        </w:tc>
        <w:tc>
          <w:tcPr>
            <w:tcW w:w="442" w:type="pct"/>
            <w:vAlign w:val="center"/>
          </w:tcPr>
          <w:p w:rsidR="009F0BED" w:rsidRPr="00CF68D9" w:rsidRDefault="009F0BED" w:rsidP="009F0BED">
            <w:pPr>
              <w:spacing w:after="120"/>
              <w:jc w:val="center"/>
              <w:rPr>
                <w:color w:val="000000"/>
                <w:highlight w:val="yellow"/>
                <w:lang w:val="en-US"/>
              </w:rPr>
            </w:pPr>
            <w:r w:rsidRPr="0093083F">
              <w:rPr>
                <w:color w:val="000000"/>
                <w:lang w:val="en-US"/>
              </w:rPr>
              <w:t>2.429</w:t>
            </w:r>
          </w:p>
        </w:tc>
      </w:tr>
      <w:tr w:rsidR="009F0BED" w:rsidRPr="00AE1ED1" w:rsidTr="00774809">
        <w:trPr>
          <w:trHeight w:val="227"/>
          <w:jc w:val="center"/>
        </w:trPr>
        <w:tc>
          <w:tcPr>
            <w:tcW w:w="5000" w:type="pct"/>
            <w:gridSpan w:val="13"/>
            <w:vAlign w:val="center"/>
          </w:tcPr>
          <w:p w:rsidR="009F0BED" w:rsidRPr="00AE1ED1" w:rsidRDefault="009F0BED" w:rsidP="009F0BED">
            <w:pPr>
              <w:spacing w:after="60"/>
              <w:rPr>
                <w:b/>
                <w:lang w:val="sr-Cyrl-CS"/>
              </w:rPr>
            </w:pPr>
            <w:r w:rsidRPr="00AE1ED1">
              <w:rPr>
                <w:b/>
                <w:lang w:val="sr-Cyrl-CS"/>
              </w:rPr>
              <w:t>Збирни подаци научне активност наставника</w:t>
            </w:r>
          </w:p>
        </w:tc>
      </w:tr>
      <w:tr w:rsidR="009F0BED" w:rsidRPr="00AE1ED1" w:rsidTr="00DC0F09">
        <w:trPr>
          <w:trHeight w:val="227"/>
          <w:jc w:val="center"/>
        </w:trPr>
        <w:tc>
          <w:tcPr>
            <w:tcW w:w="2321" w:type="pct"/>
            <w:gridSpan w:val="4"/>
            <w:vAlign w:val="center"/>
          </w:tcPr>
          <w:p w:rsidR="009F0BED" w:rsidRPr="00AE1ED1" w:rsidRDefault="009F0BED" w:rsidP="009F0BED">
            <w:pPr>
              <w:spacing w:after="60"/>
              <w:rPr>
                <w:lang w:val="sr-Cyrl-CS"/>
              </w:rPr>
            </w:pPr>
            <w:r w:rsidRPr="00AE1ED1">
              <w:rPr>
                <w:lang w:val="sr-Cyrl-CS"/>
              </w:rPr>
              <w:t>Укупан број цитата, без аутоцитата</w:t>
            </w:r>
          </w:p>
        </w:tc>
        <w:tc>
          <w:tcPr>
            <w:tcW w:w="2679" w:type="pct"/>
            <w:gridSpan w:val="9"/>
          </w:tcPr>
          <w:p w:rsidR="009F0BED" w:rsidRPr="00FC20F1" w:rsidRDefault="009F0BED" w:rsidP="009F0BED">
            <w:pPr>
              <w:rPr>
                <w:lang w:val="en-US"/>
              </w:rPr>
            </w:pPr>
            <w:r w:rsidRPr="00FC20F1">
              <w:rPr>
                <w:lang w:val="en-US"/>
              </w:rPr>
              <w:t>46</w:t>
            </w:r>
            <w:r w:rsidR="00920311">
              <w:rPr>
                <w:lang w:val="en-US"/>
              </w:rPr>
              <w:t>4</w:t>
            </w:r>
          </w:p>
        </w:tc>
      </w:tr>
      <w:tr w:rsidR="009F0BED" w:rsidRPr="00AE1ED1" w:rsidTr="00DC0F09">
        <w:trPr>
          <w:trHeight w:val="227"/>
          <w:jc w:val="center"/>
        </w:trPr>
        <w:tc>
          <w:tcPr>
            <w:tcW w:w="2321" w:type="pct"/>
            <w:gridSpan w:val="4"/>
            <w:vAlign w:val="center"/>
          </w:tcPr>
          <w:p w:rsidR="009F0BED" w:rsidRPr="00AE1ED1" w:rsidRDefault="009F0BED" w:rsidP="009F0BED">
            <w:pPr>
              <w:spacing w:after="60"/>
              <w:rPr>
                <w:lang w:val="sr-Cyrl-CS"/>
              </w:rPr>
            </w:pPr>
            <w:r w:rsidRPr="00AE1ED1">
              <w:rPr>
                <w:lang w:val="sr-Cyrl-CS"/>
              </w:rPr>
              <w:t>Укупан број радова са SCI (или SSCI) листе</w:t>
            </w:r>
          </w:p>
        </w:tc>
        <w:tc>
          <w:tcPr>
            <w:tcW w:w="2679" w:type="pct"/>
            <w:gridSpan w:val="9"/>
          </w:tcPr>
          <w:p w:rsidR="009F0BED" w:rsidRPr="0019249B" w:rsidRDefault="009F0BED" w:rsidP="009F0BED">
            <w:pPr>
              <w:rPr>
                <w:lang w:val="en-US"/>
              </w:rPr>
            </w:pPr>
            <w:r>
              <w:rPr>
                <w:lang w:val="en-US"/>
              </w:rPr>
              <w:t>19</w:t>
            </w:r>
          </w:p>
        </w:tc>
      </w:tr>
      <w:tr w:rsidR="009F0BED" w:rsidRPr="00AE1ED1" w:rsidTr="00AE1ED1">
        <w:trPr>
          <w:trHeight w:val="227"/>
          <w:jc w:val="center"/>
        </w:trPr>
        <w:tc>
          <w:tcPr>
            <w:tcW w:w="2321" w:type="pct"/>
            <w:gridSpan w:val="4"/>
            <w:vAlign w:val="center"/>
          </w:tcPr>
          <w:p w:rsidR="009F0BED" w:rsidRPr="00AE1ED1" w:rsidRDefault="009F0BED" w:rsidP="009F0BED">
            <w:pPr>
              <w:spacing w:after="60"/>
              <w:rPr>
                <w:b/>
                <w:lang w:val="sr-Cyrl-CS"/>
              </w:rPr>
            </w:pPr>
            <w:r w:rsidRPr="00AE1ED1">
              <w:rPr>
                <w:lang w:val="sr-Cyrl-CS"/>
              </w:rPr>
              <w:t>Тренутно учешће на пројектима</w:t>
            </w:r>
          </w:p>
        </w:tc>
        <w:tc>
          <w:tcPr>
            <w:tcW w:w="1148" w:type="pct"/>
            <w:gridSpan w:val="3"/>
            <w:vAlign w:val="center"/>
          </w:tcPr>
          <w:p w:rsidR="009F0BED" w:rsidRPr="007219F5" w:rsidRDefault="009F0BED" w:rsidP="009F0BED">
            <w:pPr>
              <w:spacing w:after="60"/>
              <w:rPr>
                <w:b/>
              </w:rPr>
            </w:pPr>
            <w:r w:rsidRPr="00AE1ED1">
              <w:rPr>
                <w:lang w:val="sr-Cyrl-CS"/>
              </w:rPr>
              <w:t xml:space="preserve">Домаћи: </w:t>
            </w:r>
            <w:r>
              <w:t>2</w:t>
            </w:r>
          </w:p>
        </w:tc>
        <w:tc>
          <w:tcPr>
            <w:tcW w:w="1531" w:type="pct"/>
            <w:gridSpan w:val="6"/>
            <w:vAlign w:val="center"/>
          </w:tcPr>
          <w:p w:rsidR="009F0BED" w:rsidRPr="007219F5" w:rsidRDefault="009F0BED" w:rsidP="009F0BED">
            <w:pPr>
              <w:spacing w:after="60"/>
              <w:rPr>
                <w:b/>
              </w:rPr>
            </w:pPr>
            <w:r w:rsidRPr="00AE1ED1">
              <w:rPr>
                <w:lang w:val="sr-Cyrl-CS"/>
              </w:rPr>
              <w:t xml:space="preserve">Међународни: </w:t>
            </w:r>
            <w:r>
              <w:t>-</w:t>
            </w:r>
          </w:p>
        </w:tc>
      </w:tr>
      <w:tr w:rsidR="009F0BED" w:rsidRPr="00AE1ED1" w:rsidTr="00DC0F09">
        <w:trPr>
          <w:trHeight w:val="227"/>
          <w:jc w:val="center"/>
        </w:trPr>
        <w:tc>
          <w:tcPr>
            <w:tcW w:w="2321" w:type="pct"/>
            <w:gridSpan w:val="4"/>
            <w:vAlign w:val="center"/>
          </w:tcPr>
          <w:p w:rsidR="009F0BED" w:rsidRPr="00AE1ED1" w:rsidRDefault="009F0BED" w:rsidP="009F0BED">
            <w:pPr>
              <w:spacing w:after="60"/>
              <w:rPr>
                <w:b/>
                <w:lang w:val="sr-Cyrl-CS"/>
              </w:rPr>
            </w:pPr>
            <w:r w:rsidRPr="00AE1ED1">
              <w:rPr>
                <w:lang w:val="sr-Cyrl-CS"/>
              </w:rPr>
              <w:t>Усавршавања</w:t>
            </w:r>
          </w:p>
        </w:tc>
        <w:tc>
          <w:tcPr>
            <w:tcW w:w="2679" w:type="pct"/>
            <w:gridSpan w:val="9"/>
          </w:tcPr>
          <w:p w:rsidR="009F0BED" w:rsidRPr="00AE6BFE" w:rsidRDefault="009F0BED" w:rsidP="009F0BED">
            <w:pPr>
              <w:pStyle w:val="ListParagraph"/>
              <w:numPr>
                <w:ilvl w:val="0"/>
                <w:numId w:val="2"/>
              </w:numPr>
              <w:rPr>
                <w:lang w:val="sr-Cyrl-CS"/>
              </w:rPr>
            </w:pPr>
            <w:r w:rsidRPr="00AE6BFE">
              <w:rPr>
                <w:lang w:val="sr-Cyrl-CS"/>
              </w:rPr>
              <w:t xml:space="preserve">Biotechnology and Drug Development Research Laboratory (BDDRL), Curtin Health Innovation Research Institute (CHIRI), Faculty of Health Sciences, Curtin University, </w:t>
            </w:r>
            <w:r>
              <w:t xml:space="preserve">Peth, </w:t>
            </w:r>
            <w:r w:rsidRPr="00AE6BFE">
              <w:t>Australia</w:t>
            </w:r>
            <w:r w:rsidRPr="00AE6BFE">
              <w:rPr>
                <w:lang w:val="sr-Cyrl-CS"/>
              </w:rPr>
              <w:t xml:space="preserve"> 2017.</w:t>
            </w:r>
          </w:p>
          <w:p w:rsidR="009F0BED" w:rsidRPr="00AE6BFE" w:rsidRDefault="009F0BED" w:rsidP="009F0BED">
            <w:pPr>
              <w:pStyle w:val="ListParagraph"/>
              <w:numPr>
                <w:ilvl w:val="0"/>
                <w:numId w:val="2"/>
              </w:numPr>
              <w:rPr>
                <w:lang w:val="sr-Cyrl-CS"/>
              </w:rPr>
            </w:pPr>
            <w:r w:rsidRPr="00AE6BFE">
              <w:rPr>
                <w:lang w:val="sr-Cyrl-CS"/>
              </w:rPr>
              <w:t xml:space="preserve">8th International Mass Spectrometry School on The Mass Spectrometry in Environmental and Biochemical Analysis, Universite Pierre et Marie Curie, Paris France in cooperation with Faculty of Science and Mathematics, University of Niš and, </w:t>
            </w:r>
            <w:r>
              <w:t>2013</w:t>
            </w:r>
            <w:r w:rsidRPr="00AE6BFE">
              <w:rPr>
                <w:lang w:val="sr-Cyrl-CS"/>
              </w:rPr>
              <w:t>, Niš Serbia</w:t>
            </w:r>
          </w:p>
        </w:tc>
      </w:tr>
      <w:tr w:rsidR="009F0BED" w:rsidRPr="00AE1ED1" w:rsidTr="00DC0F09">
        <w:trPr>
          <w:trHeight w:val="227"/>
          <w:jc w:val="center"/>
        </w:trPr>
        <w:tc>
          <w:tcPr>
            <w:tcW w:w="2321" w:type="pct"/>
            <w:gridSpan w:val="4"/>
            <w:vAlign w:val="center"/>
          </w:tcPr>
          <w:p w:rsidR="009F0BED" w:rsidRPr="00AE1ED1" w:rsidRDefault="009F0BED" w:rsidP="009F0BED">
            <w:pPr>
              <w:spacing w:after="60"/>
              <w:rPr>
                <w:b/>
                <w:lang w:val="sr-Cyrl-CS"/>
              </w:rPr>
            </w:pPr>
            <w:r w:rsidRPr="00AE1ED1">
              <w:rPr>
                <w:lang w:val="sr-Cyrl-CS"/>
              </w:rPr>
              <w:t>Други подаци које сматрате релевантним</w:t>
            </w:r>
          </w:p>
        </w:tc>
        <w:tc>
          <w:tcPr>
            <w:tcW w:w="2679" w:type="pct"/>
            <w:gridSpan w:val="9"/>
          </w:tcPr>
          <w:p w:rsidR="009F0BED" w:rsidRPr="00AE6BFE" w:rsidRDefault="009F0BED" w:rsidP="009F0BED">
            <w:pPr>
              <w:pStyle w:val="ListParagraph"/>
              <w:numPr>
                <w:ilvl w:val="0"/>
                <w:numId w:val="3"/>
              </w:numPr>
              <w:rPr>
                <w:lang w:val="sr-Cyrl-CS"/>
              </w:rPr>
            </w:pPr>
            <w:r w:rsidRPr="00AE6BFE">
              <w:rPr>
                <w:lang w:val="sr-Cyrl-CS"/>
              </w:rPr>
              <w:t>Награда Универзитета у Новом Саду и Медицинског факултета у Новом Саду године за постигнут успех са просечном оценом изнад 9,50 у школској 2004/2005 години</w:t>
            </w:r>
          </w:p>
          <w:p w:rsidR="009F0BED" w:rsidRPr="00AE6BFE" w:rsidRDefault="009F0BED" w:rsidP="009F0BED">
            <w:pPr>
              <w:pStyle w:val="ListParagraph"/>
              <w:numPr>
                <w:ilvl w:val="0"/>
                <w:numId w:val="3"/>
              </w:numPr>
              <w:rPr>
                <w:lang w:val="sr-Cyrl-CS"/>
              </w:rPr>
            </w:pPr>
            <w:r w:rsidRPr="00AE6BFE">
              <w:rPr>
                <w:lang w:val="sr-Cyrl-CS"/>
              </w:rPr>
              <w:t>Награда Универзитета у Новом Саду и Медицинског факултета у Новом Саду године за постигнут успех у току студија са просечном оценом изнад 9,50 у школској 2009/2010 години</w:t>
            </w:r>
          </w:p>
        </w:tc>
      </w:tr>
    </w:tbl>
    <w:p w:rsidR="001543AE" w:rsidRPr="00441250" w:rsidRDefault="001543AE" w:rsidP="001543AE">
      <w:pPr>
        <w:rPr>
          <w:sz w:val="6"/>
          <w:szCs w:val="6"/>
        </w:rPr>
      </w:pPr>
    </w:p>
    <w:p w:rsidR="00A96A06" w:rsidRDefault="00A96A06"/>
    <w:sectPr w:rsidR="00A96A06" w:rsidSect="00A96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CE4E76"/>
    <w:multiLevelType w:val="hybridMultilevel"/>
    <w:tmpl w:val="7E30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D5B6B"/>
    <w:multiLevelType w:val="hybridMultilevel"/>
    <w:tmpl w:val="DBE6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1543AE"/>
    <w:rsid w:val="000029F4"/>
    <w:rsid w:val="000273B8"/>
    <w:rsid w:val="00045F9B"/>
    <w:rsid w:val="00056B29"/>
    <w:rsid w:val="000578B9"/>
    <w:rsid w:val="00064A5F"/>
    <w:rsid w:val="000847C0"/>
    <w:rsid w:val="0009086B"/>
    <w:rsid w:val="00095A68"/>
    <w:rsid w:val="000F40DD"/>
    <w:rsid w:val="000F4998"/>
    <w:rsid w:val="00112F42"/>
    <w:rsid w:val="00126BD5"/>
    <w:rsid w:val="0013621F"/>
    <w:rsid w:val="001543AE"/>
    <w:rsid w:val="001754D0"/>
    <w:rsid w:val="0019249B"/>
    <w:rsid w:val="001B152B"/>
    <w:rsid w:val="001D6506"/>
    <w:rsid w:val="001E57D3"/>
    <w:rsid w:val="001F3039"/>
    <w:rsid w:val="001F4486"/>
    <w:rsid w:val="00250C29"/>
    <w:rsid w:val="00274A38"/>
    <w:rsid w:val="002A08DE"/>
    <w:rsid w:val="002A0FF7"/>
    <w:rsid w:val="002F31A6"/>
    <w:rsid w:val="002F4310"/>
    <w:rsid w:val="00310616"/>
    <w:rsid w:val="00312DE6"/>
    <w:rsid w:val="003258D5"/>
    <w:rsid w:val="003525FA"/>
    <w:rsid w:val="00375003"/>
    <w:rsid w:val="00386529"/>
    <w:rsid w:val="003F177B"/>
    <w:rsid w:val="004221D5"/>
    <w:rsid w:val="00441020"/>
    <w:rsid w:val="004B7FC7"/>
    <w:rsid w:val="0051774C"/>
    <w:rsid w:val="00524E15"/>
    <w:rsid w:val="00537DCE"/>
    <w:rsid w:val="005817CD"/>
    <w:rsid w:val="005B6DDC"/>
    <w:rsid w:val="005D1DB3"/>
    <w:rsid w:val="00614F04"/>
    <w:rsid w:val="00627809"/>
    <w:rsid w:val="006552ED"/>
    <w:rsid w:val="006823D2"/>
    <w:rsid w:val="006A5CD9"/>
    <w:rsid w:val="006B0A21"/>
    <w:rsid w:val="006B46C5"/>
    <w:rsid w:val="006C6CF5"/>
    <w:rsid w:val="006D2153"/>
    <w:rsid w:val="006F20C4"/>
    <w:rsid w:val="006F351E"/>
    <w:rsid w:val="00704375"/>
    <w:rsid w:val="007219F5"/>
    <w:rsid w:val="00740FE6"/>
    <w:rsid w:val="00774809"/>
    <w:rsid w:val="00792541"/>
    <w:rsid w:val="007D240F"/>
    <w:rsid w:val="007E3A09"/>
    <w:rsid w:val="007E5493"/>
    <w:rsid w:val="0080024D"/>
    <w:rsid w:val="008003A6"/>
    <w:rsid w:val="008139D8"/>
    <w:rsid w:val="00874FA5"/>
    <w:rsid w:val="00884353"/>
    <w:rsid w:val="00892BDE"/>
    <w:rsid w:val="008D5E1A"/>
    <w:rsid w:val="008E2A55"/>
    <w:rsid w:val="008F5493"/>
    <w:rsid w:val="0090224F"/>
    <w:rsid w:val="00903358"/>
    <w:rsid w:val="0091227E"/>
    <w:rsid w:val="00920311"/>
    <w:rsid w:val="00926627"/>
    <w:rsid w:val="0093083F"/>
    <w:rsid w:val="00940C86"/>
    <w:rsid w:val="0095208F"/>
    <w:rsid w:val="009A7403"/>
    <w:rsid w:val="009F0BED"/>
    <w:rsid w:val="009F166D"/>
    <w:rsid w:val="009F30FA"/>
    <w:rsid w:val="00A17B00"/>
    <w:rsid w:val="00A77765"/>
    <w:rsid w:val="00A85D19"/>
    <w:rsid w:val="00A96A06"/>
    <w:rsid w:val="00AC3E71"/>
    <w:rsid w:val="00AC5DA4"/>
    <w:rsid w:val="00AE1ED1"/>
    <w:rsid w:val="00AE2F2D"/>
    <w:rsid w:val="00AE519D"/>
    <w:rsid w:val="00AE6BFE"/>
    <w:rsid w:val="00B30BCD"/>
    <w:rsid w:val="00B8654D"/>
    <w:rsid w:val="00BB6803"/>
    <w:rsid w:val="00BC007D"/>
    <w:rsid w:val="00C43937"/>
    <w:rsid w:val="00CF09F7"/>
    <w:rsid w:val="00CF68D9"/>
    <w:rsid w:val="00D434E0"/>
    <w:rsid w:val="00D43D0A"/>
    <w:rsid w:val="00D45FF7"/>
    <w:rsid w:val="00DC0F09"/>
    <w:rsid w:val="00DC3642"/>
    <w:rsid w:val="00DF2E1A"/>
    <w:rsid w:val="00E43A64"/>
    <w:rsid w:val="00E5180C"/>
    <w:rsid w:val="00E627EE"/>
    <w:rsid w:val="00E659BF"/>
    <w:rsid w:val="00E82E4F"/>
    <w:rsid w:val="00E9593E"/>
    <w:rsid w:val="00EA6F90"/>
    <w:rsid w:val="00EE5301"/>
    <w:rsid w:val="00EF6C9C"/>
    <w:rsid w:val="00F13213"/>
    <w:rsid w:val="00F26109"/>
    <w:rsid w:val="00F36E03"/>
    <w:rsid w:val="00F42EFA"/>
    <w:rsid w:val="00F46655"/>
    <w:rsid w:val="00F83601"/>
    <w:rsid w:val="00FC20F1"/>
    <w:rsid w:val="00FC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AE"/>
    <w:pPr>
      <w:widowControl w:val="0"/>
      <w:autoSpaceDE w:val="0"/>
      <w:autoSpaceDN w:val="0"/>
      <w:adjustRightInd w:val="0"/>
    </w:pPr>
    <w:rPr>
      <w:rFonts w:ascii="Times New Roman" w:eastAsia="Cambria"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uiPriority w:val="99"/>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character" w:customStyle="1" w:styleId="jrnl">
    <w:name w:val="jrnl"/>
    <w:basedOn w:val="DefaultParagraphFont"/>
    <w:rsid w:val="00BC007D"/>
  </w:style>
  <w:style w:type="character" w:customStyle="1" w:styleId="standard-view-style">
    <w:name w:val="standard-view-style"/>
    <w:basedOn w:val="DefaultParagraphFont"/>
    <w:rsid w:val="00BC007D"/>
  </w:style>
  <w:style w:type="paragraph" w:styleId="NormalWeb">
    <w:name w:val="Normal (Web)"/>
    <w:basedOn w:val="Normal"/>
    <w:uiPriority w:val="99"/>
    <w:semiHidden/>
    <w:unhideWhenUsed/>
    <w:rsid w:val="008F5493"/>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UnresolvedMention">
    <w:name w:val="Unresolved Mention"/>
    <w:basedOn w:val="DefaultParagraphFont"/>
    <w:uiPriority w:val="99"/>
    <w:semiHidden/>
    <w:unhideWhenUsed/>
    <w:rsid w:val="009520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328258">
      <w:bodyDiv w:val="1"/>
      <w:marLeft w:val="0"/>
      <w:marRight w:val="0"/>
      <w:marTop w:val="0"/>
      <w:marBottom w:val="0"/>
      <w:divBdr>
        <w:top w:val="none" w:sz="0" w:space="0" w:color="auto"/>
        <w:left w:val="none" w:sz="0" w:space="0" w:color="auto"/>
        <w:bottom w:val="none" w:sz="0" w:space="0" w:color="auto"/>
        <w:right w:val="none" w:sz="0" w:space="0" w:color="auto"/>
      </w:divBdr>
    </w:div>
    <w:div w:id="51857446">
      <w:bodyDiv w:val="1"/>
      <w:marLeft w:val="0"/>
      <w:marRight w:val="0"/>
      <w:marTop w:val="0"/>
      <w:marBottom w:val="0"/>
      <w:divBdr>
        <w:top w:val="none" w:sz="0" w:space="0" w:color="auto"/>
        <w:left w:val="none" w:sz="0" w:space="0" w:color="auto"/>
        <w:bottom w:val="none" w:sz="0" w:space="0" w:color="auto"/>
        <w:right w:val="none" w:sz="0" w:space="0" w:color="auto"/>
      </w:divBdr>
    </w:div>
    <w:div w:id="357463117">
      <w:bodyDiv w:val="1"/>
      <w:marLeft w:val="0"/>
      <w:marRight w:val="0"/>
      <w:marTop w:val="0"/>
      <w:marBottom w:val="0"/>
      <w:divBdr>
        <w:top w:val="none" w:sz="0" w:space="0" w:color="auto"/>
        <w:left w:val="none" w:sz="0" w:space="0" w:color="auto"/>
        <w:bottom w:val="none" w:sz="0" w:space="0" w:color="auto"/>
        <w:right w:val="none" w:sz="0" w:space="0" w:color="auto"/>
      </w:divBdr>
    </w:div>
    <w:div w:id="477721168">
      <w:bodyDiv w:val="1"/>
      <w:marLeft w:val="0"/>
      <w:marRight w:val="0"/>
      <w:marTop w:val="0"/>
      <w:marBottom w:val="0"/>
      <w:divBdr>
        <w:top w:val="none" w:sz="0" w:space="0" w:color="auto"/>
        <w:left w:val="none" w:sz="0" w:space="0" w:color="auto"/>
        <w:bottom w:val="none" w:sz="0" w:space="0" w:color="auto"/>
        <w:right w:val="none" w:sz="0" w:space="0" w:color="auto"/>
      </w:divBdr>
    </w:div>
    <w:div w:id="556822139">
      <w:bodyDiv w:val="1"/>
      <w:marLeft w:val="0"/>
      <w:marRight w:val="0"/>
      <w:marTop w:val="0"/>
      <w:marBottom w:val="0"/>
      <w:divBdr>
        <w:top w:val="none" w:sz="0" w:space="0" w:color="auto"/>
        <w:left w:val="none" w:sz="0" w:space="0" w:color="auto"/>
        <w:bottom w:val="none" w:sz="0" w:space="0" w:color="auto"/>
        <w:right w:val="none" w:sz="0" w:space="0" w:color="auto"/>
      </w:divBdr>
    </w:div>
    <w:div w:id="622883172">
      <w:bodyDiv w:val="1"/>
      <w:marLeft w:val="0"/>
      <w:marRight w:val="0"/>
      <w:marTop w:val="0"/>
      <w:marBottom w:val="0"/>
      <w:divBdr>
        <w:top w:val="none" w:sz="0" w:space="0" w:color="auto"/>
        <w:left w:val="none" w:sz="0" w:space="0" w:color="auto"/>
        <w:bottom w:val="none" w:sz="0" w:space="0" w:color="auto"/>
        <w:right w:val="none" w:sz="0" w:space="0" w:color="auto"/>
      </w:divBdr>
    </w:div>
    <w:div w:id="982540161">
      <w:bodyDiv w:val="1"/>
      <w:marLeft w:val="0"/>
      <w:marRight w:val="0"/>
      <w:marTop w:val="0"/>
      <w:marBottom w:val="0"/>
      <w:divBdr>
        <w:top w:val="none" w:sz="0" w:space="0" w:color="auto"/>
        <w:left w:val="none" w:sz="0" w:space="0" w:color="auto"/>
        <w:bottom w:val="none" w:sz="0" w:space="0" w:color="auto"/>
        <w:right w:val="none" w:sz="0" w:space="0" w:color="auto"/>
      </w:divBdr>
    </w:div>
    <w:div w:id="1038432471">
      <w:bodyDiv w:val="1"/>
      <w:marLeft w:val="0"/>
      <w:marRight w:val="0"/>
      <w:marTop w:val="0"/>
      <w:marBottom w:val="0"/>
      <w:divBdr>
        <w:top w:val="none" w:sz="0" w:space="0" w:color="auto"/>
        <w:left w:val="none" w:sz="0" w:space="0" w:color="auto"/>
        <w:bottom w:val="none" w:sz="0" w:space="0" w:color="auto"/>
        <w:right w:val="none" w:sz="0" w:space="0" w:color="auto"/>
      </w:divBdr>
    </w:div>
    <w:div w:id="1051492267">
      <w:bodyDiv w:val="1"/>
      <w:marLeft w:val="0"/>
      <w:marRight w:val="0"/>
      <w:marTop w:val="0"/>
      <w:marBottom w:val="0"/>
      <w:divBdr>
        <w:top w:val="none" w:sz="0" w:space="0" w:color="auto"/>
        <w:left w:val="none" w:sz="0" w:space="0" w:color="auto"/>
        <w:bottom w:val="none" w:sz="0" w:space="0" w:color="auto"/>
        <w:right w:val="none" w:sz="0" w:space="0" w:color="auto"/>
      </w:divBdr>
    </w:div>
    <w:div w:id="1191453619">
      <w:bodyDiv w:val="1"/>
      <w:marLeft w:val="0"/>
      <w:marRight w:val="0"/>
      <w:marTop w:val="0"/>
      <w:marBottom w:val="0"/>
      <w:divBdr>
        <w:top w:val="none" w:sz="0" w:space="0" w:color="auto"/>
        <w:left w:val="none" w:sz="0" w:space="0" w:color="auto"/>
        <w:bottom w:val="none" w:sz="0" w:space="0" w:color="auto"/>
        <w:right w:val="none" w:sz="0" w:space="0" w:color="auto"/>
      </w:divBdr>
    </w:div>
    <w:div w:id="21200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ekaselect.com/article/116020" TargetMode="External"/><Relationship Id="rId13" Type="http://schemas.openxmlformats.org/officeDocument/2006/relationships/hyperlink" Target="https://www.frontiersin.org/articles/10.3389/fphar.2018.01283/full" TargetMode="External"/><Relationship Id="rId18" Type="http://schemas.openxmlformats.org/officeDocument/2006/relationships/hyperlink" Target="https://www.webofscience.com/wos/woscc/full-record/WOS:000371386300025?SID=EUW1ED0BCEcakvPXWMEfJx5o9KZb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frontiersin.org/journals/pharmacology/articles/10.3389/fphar.2022.1087988/full" TargetMode="External"/><Relationship Id="rId12" Type="http://schemas.openxmlformats.org/officeDocument/2006/relationships/hyperlink" Target="https://www.eurekaselect.com/article/101966" TargetMode="External"/><Relationship Id="rId17" Type="http://schemas.openxmlformats.org/officeDocument/2006/relationships/hyperlink" Target="https://link.springer.com/article/10.1007/s13318-017-0417-y" TargetMode="External"/><Relationship Id="rId2" Type="http://schemas.openxmlformats.org/officeDocument/2006/relationships/numbering" Target="numbering.xml"/><Relationship Id="rId16" Type="http://schemas.openxmlformats.org/officeDocument/2006/relationships/hyperlink" Target="https://www.eurekaselect.com/article/78809" TargetMode="External"/><Relationship Id="rId20" Type="http://schemas.openxmlformats.org/officeDocument/2006/relationships/hyperlink" Target="https://www.tandfonline.com/doi/full/10.3109/03639045.2015.1067626" TargetMode="External"/><Relationship Id="rId1" Type="http://schemas.openxmlformats.org/officeDocument/2006/relationships/customXml" Target="../customXml/item1.xml"/><Relationship Id="rId6" Type="http://schemas.openxmlformats.org/officeDocument/2006/relationships/hyperlink" Target="https://www.frontiersin.org/journals/pharmacology/articles/10.3389/fphar.2023.1111115/full" TargetMode="External"/><Relationship Id="rId11" Type="http://schemas.openxmlformats.org/officeDocument/2006/relationships/hyperlink" Target="https://www.frontiersin.org/articles/10.3389/fphar.2019.01083/full" TargetMode="External"/><Relationship Id="rId5" Type="http://schemas.openxmlformats.org/officeDocument/2006/relationships/webSettings" Target="webSettings.xml"/><Relationship Id="rId15" Type="http://schemas.openxmlformats.org/officeDocument/2006/relationships/hyperlink" Target="https://link.springer.com/article/10.1007/s13318-017-0441-y" TargetMode="External"/><Relationship Id="rId10" Type="http://schemas.openxmlformats.org/officeDocument/2006/relationships/hyperlink" Target="https://link.springer.com/article/10.1007/s13318-019-00570-y" TargetMode="External"/><Relationship Id="rId19" Type="http://schemas.openxmlformats.org/officeDocument/2006/relationships/hyperlink" Target="https://pdf.sciencedirectassets.com/280480/1-s2.0-S1499387215X00026/1-s2.0-S1499387214603076/main.pdf?X-Amz-Security-Token=IQoJb3JpZ2luX2VjEIT%2F%2F%2F%2F%2F%2F%2F%2F%2F%2FwEaCXVzLWVhc3QtMSJHMEUCIQD3RBe%2B2NuNfpWrm8pJ1PT2NACf5Ib2hzRmKeoM33INuAIgBp6vLw4Oi2K" TargetMode="External"/><Relationship Id="rId4" Type="http://schemas.openxmlformats.org/officeDocument/2006/relationships/settings" Target="settings.xml"/><Relationship Id="rId9" Type="http://schemas.openxmlformats.org/officeDocument/2006/relationships/hyperlink" Target="https://www.sciencedirect.com/science/article/pii/S0928098720304565?via%3Dihub" TargetMode="External"/><Relationship Id="rId14" Type="http://schemas.openxmlformats.org/officeDocument/2006/relationships/hyperlink" Target="https://www.frontiersin.org/articles/10.3389/fphar.2018.01382/fu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A3A4-4A58-4D42-A4F0-46FC668C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Links>
    <vt:vector size="120" baseType="variant">
      <vt:variant>
        <vt:i4>5505094</vt:i4>
      </vt:variant>
      <vt:variant>
        <vt:i4>57</vt:i4>
      </vt:variant>
      <vt:variant>
        <vt:i4>0</vt:i4>
      </vt:variant>
      <vt:variant>
        <vt:i4>5</vt:i4>
      </vt:variant>
      <vt:variant>
        <vt:lpwstr>http://archiwum.ciop.pl/50499</vt:lpwstr>
      </vt:variant>
      <vt:variant>
        <vt:lpwstr/>
      </vt:variant>
      <vt:variant>
        <vt:i4>2097275</vt:i4>
      </vt:variant>
      <vt:variant>
        <vt:i4>54</vt:i4>
      </vt:variant>
      <vt:variant>
        <vt:i4>0</vt:i4>
      </vt:variant>
      <vt:variant>
        <vt:i4>5</vt:i4>
      </vt:variant>
      <vt:variant>
        <vt:lpwstr>https://www.hindawi.com/journals/cjgh/2012/538452/abs/</vt:lpwstr>
      </vt:variant>
      <vt:variant>
        <vt:lpwstr/>
      </vt:variant>
      <vt:variant>
        <vt:i4>6553722</vt:i4>
      </vt:variant>
      <vt:variant>
        <vt:i4>51</vt:i4>
      </vt:variant>
      <vt:variant>
        <vt:i4>0</vt:i4>
      </vt:variant>
      <vt:variant>
        <vt:i4>5</vt:i4>
      </vt:variant>
      <vt:variant>
        <vt:lpwstr>http://download.springer.com/static/pdf/153/art%253A10.1007%252Fs12010-012-9904-4.pdf?originUrl=http%3A%2F%2Flink.springer.com%2Farticle%2F10.1007%2Fs12010-012-9904-4&amp;token2=exp=1491820321~acl=%2Fstatic%2Fpdf%2F153%2Fart%25253A10.1007%25252Fs12010-012-9904</vt:lpwstr>
      </vt:variant>
      <vt:variant>
        <vt:lpwstr/>
      </vt:variant>
      <vt:variant>
        <vt:i4>5439505</vt:i4>
      </vt:variant>
      <vt:variant>
        <vt:i4>48</vt:i4>
      </vt:variant>
      <vt:variant>
        <vt:i4>0</vt:i4>
      </vt:variant>
      <vt:variant>
        <vt:i4>5</vt:i4>
      </vt:variant>
      <vt:variant>
        <vt:lpwstr>https://www.researchgate.net/publication/236640559_Modification_of_Antioxidative_and_Antiapoptotic_Genes_Expression_in_irradiated_K562_Cells_Upon_Fullerenol_C60OH24_Nanoparticle_Treatment</vt:lpwstr>
      </vt:variant>
      <vt:variant>
        <vt:lpwstr/>
      </vt:variant>
      <vt:variant>
        <vt:i4>4325447</vt:i4>
      </vt:variant>
      <vt:variant>
        <vt:i4>45</vt:i4>
      </vt:variant>
      <vt:variant>
        <vt:i4>0</vt:i4>
      </vt:variant>
      <vt:variant>
        <vt:i4>5</vt:i4>
      </vt:variant>
      <vt:variant>
        <vt:lpwstr>http://pediatrics.aappublications.org/content/pediatrics/132/6/1112.full.pdf</vt:lpwstr>
      </vt:variant>
      <vt:variant>
        <vt:lpwstr/>
      </vt:variant>
      <vt:variant>
        <vt:i4>1966101</vt:i4>
      </vt:variant>
      <vt:variant>
        <vt:i4>42</vt:i4>
      </vt:variant>
      <vt:variant>
        <vt:i4>0</vt:i4>
      </vt:variant>
      <vt:variant>
        <vt:i4>5</vt:i4>
      </vt:variant>
      <vt:variant>
        <vt:lpwstr>http://onlinelibrary.wiley.com/doi/10.1002/ddr.21050/pdf</vt:lpwstr>
      </vt:variant>
      <vt:variant>
        <vt:lpwstr/>
      </vt:variant>
      <vt:variant>
        <vt:i4>917584</vt:i4>
      </vt:variant>
      <vt:variant>
        <vt:i4>39</vt:i4>
      </vt:variant>
      <vt:variant>
        <vt:i4>0</vt:i4>
      </vt:variant>
      <vt:variant>
        <vt:i4>5</vt:i4>
      </vt:variant>
      <vt:variant>
        <vt:lpwstr>http://see-articles.ceon.rs/data/pdf/1107-0625/2014/1107-06251401022W.pdf</vt:lpwstr>
      </vt:variant>
      <vt:variant>
        <vt:lpwstr/>
      </vt:variant>
      <vt:variant>
        <vt:i4>6553724</vt:i4>
      </vt:variant>
      <vt:variant>
        <vt:i4>36</vt:i4>
      </vt:variant>
      <vt:variant>
        <vt:i4>0</vt:i4>
      </vt:variant>
      <vt:variant>
        <vt:i4>5</vt:i4>
      </vt:variant>
      <vt:variant>
        <vt:lpwstr>http://download.springer.com/static/pdf/137/art%253A10.1007%252Fs11033-014-3390-4.pdf?originUrl=http%3A%2F%2Flink.springer.com%2Farticle%2F10.1007%2Fs11033-014-3390-4&amp;token2=exp=1491816465~acl=%2Fstatic%2Fpdf%2F137%2Fart%25253A10.1007%25252Fs11033-014-3390</vt:lpwstr>
      </vt:variant>
      <vt:variant>
        <vt:lpwstr/>
      </vt:variant>
      <vt:variant>
        <vt:i4>7340095</vt:i4>
      </vt:variant>
      <vt:variant>
        <vt:i4>33</vt:i4>
      </vt:variant>
      <vt:variant>
        <vt:i4>0</vt:i4>
      </vt:variant>
      <vt:variant>
        <vt:i4>5</vt:i4>
      </vt:variant>
      <vt:variant>
        <vt:lpwstr>http://www.doiserbia.nb.rs/img/doi/0367-598X/2015/0367-598X1400054S.pdf</vt:lpwstr>
      </vt:variant>
      <vt:variant>
        <vt:lpwstr/>
      </vt:variant>
      <vt:variant>
        <vt:i4>5636123</vt:i4>
      </vt:variant>
      <vt:variant>
        <vt:i4>30</vt:i4>
      </vt:variant>
      <vt:variant>
        <vt:i4>0</vt:i4>
      </vt:variant>
      <vt:variant>
        <vt:i4>5</vt:i4>
      </vt:variant>
      <vt:variant>
        <vt:lpwstr>http://ac.els-cdn.com/S0266435614005932/1-s2.0-S0266435614005932-main.pdf?_tid=6dcf222e-1dcb-11e7-b604-00000aab0f6b&amp;acdnat=1491814701_369671f98b99067971891f2417060581</vt:lpwstr>
      </vt:variant>
      <vt:variant>
        <vt:lpwstr/>
      </vt:variant>
      <vt:variant>
        <vt:i4>5767232</vt:i4>
      </vt:variant>
      <vt:variant>
        <vt:i4>27</vt:i4>
      </vt:variant>
      <vt:variant>
        <vt:i4>0</vt:i4>
      </vt:variant>
      <vt:variant>
        <vt:i4>5</vt:i4>
      </vt:variant>
      <vt:variant>
        <vt:lpwstr>http://www.hbpdint.com/EN/Y2015/V14/I1/18</vt:lpwstr>
      </vt:variant>
      <vt:variant>
        <vt:lpwstr/>
      </vt:variant>
      <vt:variant>
        <vt:i4>3866726</vt:i4>
      </vt:variant>
      <vt:variant>
        <vt:i4>24</vt:i4>
      </vt:variant>
      <vt:variant>
        <vt:i4>0</vt:i4>
      </vt:variant>
      <vt:variant>
        <vt:i4>5</vt:i4>
      </vt:variant>
      <vt:variant>
        <vt:lpwstr>http://docserver.ingentaconnect.com/deliver/connect/ben/13816128/v23n1/s2.pdf?expires=1491813324&amp;id=90403519&amp;titleid=3901&amp;accname=Faculty+of+Law&amp;checksum=EAE207342317747D1FE92BFDC184250F</vt:lpwstr>
      </vt:variant>
      <vt:variant>
        <vt:lpwstr/>
      </vt:variant>
      <vt:variant>
        <vt:i4>7471212</vt:i4>
      </vt:variant>
      <vt:variant>
        <vt:i4>21</vt:i4>
      </vt:variant>
      <vt:variant>
        <vt:i4>0</vt:i4>
      </vt:variant>
      <vt:variant>
        <vt:i4>5</vt:i4>
      </vt:variant>
      <vt:variant>
        <vt:lpwstr>https://www.degruyter.com/view/j/bjmg.2017.20.issue-1/bjmg-2017-0004/bjmg-2017-0004.xml?format=INT</vt:lpwstr>
      </vt:variant>
      <vt:variant>
        <vt:lpwstr/>
      </vt:variant>
      <vt:variant>
        <vt:i4>4980756</vt:i4>
      </vt:variant>
      <vt:variant>
        <vt:i4>18</vt:i4>
      </vt:variant>
      <vt:variant>
        <vt:i4>0</vt:i4>
      </vt:variant>
      <vt:variant>
        <vt:i4>5</vt:i4>
      </vt:variant>
      <vt:variant>
        <vt:lpwstr>https://link.springer.com/article/10.1007%2Fs13318-017-0417-y</vt:lpwstr>
      </vt:variant>
      <vt:variant>
        <vt:lpwstr/>
      </vt:variant>
      <vt:variant>
        <vt:i4>4784146</vt:i4>
      </vt:variant>
      <vt:variant>
        <vt:i4>15</vt:i4>
      </vt:variant>
      <vt:variant>
        <vt:i4>0</vt:i4>
      </vt:variant>
      <vt:variant>
        <vt:i4>5</vt:i4>
      </vt:variant>
      <vt:variant>
        <vt:lpwstr>https://link.springer.com/article/10.1007%2Fs13318-017-0441-y</vt:lpwstr>
      </vt:variant>
      <vt:variant>
        <vt:lpwstr/>
      </vt:variant>
      <vt:variant>
        <vt:i4>2752617</vt:i4>
      </vt:variant>
      <vt:variant>
        <vt:i4>12</vt:i4>
      </vt:variant>
      <vt:variant>
        <vt:i4>0</vt:i4>
      </vt:variant>
      <vt:variant>
        <vt:i4>5</vt:i4>
      </vt:variant>
      <vt:variant>
        <vt:lpwstr>https://www.frontiersin.org/articles/10.3389/fphar.2018.01283/full</vt:lpwstr>
      </vt:variant>
      <vt:variant>
        <vt:lpwstr/>
      </vt:variant>
      <vt:variant>
        <vt:i4>2752617</vt:i4>
      </vt:variant>
      <vt:variant>
        <vt:i4>9</vt:i4>
      </vt:variant>
      <vt:variant>
        <vt:i4>0</vt:i4>
      </vt:variant>
      <vt:variant>
        <vt:i4>5</vt:i4>
      </vt:variant>
      <vt:variant>
        <vt:lpwstr>https://www.frontiersin.org/articles/10.3389/fphar.2018.01382/full</vt:lpwstr>
      </vt:variant>
      <vt:variant>
        <vt:lpwstr/>
      </vt:variant>
      <vt:variant>
        <vt:i4>589841</vt:i4>
      </vt:variant>
      <vt:variant>
        <vt:i4>6</vt:i4>
      </vt:variant>
      <vt:variant>
        <vt:i4>0</vt:i4>
      </vt:variant>
      <vt:variant>
        <vt:i4>5</vt:i4>
      </vt:variant>
      <vt:variant>
        <vt:lpwstr>https://ezproxy.nb.rs:2078/article/10.1007/s11033-019-05076-z</vt:lpwstr>
      </vt:variant>
      <vt:variant>
        <vt:lpwstr/>
      </vt:variant>
      <vt:variant>
        <vt:i4>3604580</vt:i4>
      </vt:variant>
      <vt:variant>
        <vt:i4>3</vt:i4>
      </vt:variant>
      <vt:variant>
        <vt:i4>0</vt:i4>
      </vt:variant>
      <vt:variant>
        <vt:i4>5</vt:i4>
      </vt:variant>
      <vt:variant>
        <vt:lpwstr>http://www.doiserbia.nb.rs/img/doi/0534-0012/2019/0534-00121903975G.pdf</vt:lpwstr>
      </vt:variant>
      <vt:variant>
        <vt:lpwstr/>
      </vt:variant>
      <vt:variant>
        <vt:i4>4980762</vt:i4>
      </vt:variant>
      <vt:variant>
        <vt:i4>0</vt:i4>
      </vt:variant>
      <vt:variant>
        <vt:i4>0</vt:i4>
      </vt:variant>
      <vt:variant>
        <vt:i4>5</vt:i4>
      </vt:variant>
      <vt:variant>
        <vt:lpwstr>http://kobson.nb.rs/nauka_u_srbiji.132.html?autor=Stankov%20Karmen%20M&amp;amp;samoar&amp;amp;.WOs2DLi__cc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Srdic Galic</dc:creator>
  <cp:lastModifiedBy>aleksandra.biberdzic</cp:lastModifiedBy>
  <cp:revision>11</cp:revision>
  <cp:lastPrinted>2023-09-05T09:52:00Z</cp:lastPrinted>
  <dcterms:created xsi:type="dcterms:W3CDTF">2023-09-05T12:36:00Z</dcterms:created>
  <dcterms:modified xsi:type="dcterms:W3CDTF">2024-09-18T08:20:00Z</dcterms:modified>
</cp:coreProperties>
</file>