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2A33" w14:textId="77777777" w:rsidR="00494424" w:rsidRPr="00DE02EC" w:rsidRDefault="00494424" w:rsidP="00494424">
      <w:pPr>
        <w:spacing w:after="60"/>
        <w:jc w:val="center"/>
        <w:rPr>
          <w:iCs/>
          <w:sz w:val="22"/>
          <w:szCs w:val="22"/>
          <w:lang w:val="sr-Cyrl-CS"/>
        </w:rPr>
      </w:pPr>
      <w:r w:rsidRPr="00DE02EC">
        <w:rPr>
          <w:b/>
          <w:iCs/>
          <w:sz w:val="22"/>
          <w:szCs w:val="22"/>
          <w:lang w:val="sr-Cyrl-CS"/>
        </w:rPr>
        <w:t>Табела. 9.</w:t>
      </w:r>
      <w:r>
        <w:rPr>
          <w:b/>
          <w:iCs/>
          <w:sz w:val="22"/>
          <w:szCs w:val="22"/>
        </w:rPr>
        <w:t>8</w:t>
      </w:r>
      <w:r w:rsidRPr="00DE02EC">
        <w:rPr>
          <w:iCs/>
          <w:sz w:val="22"/>
          <w:szCs w:val="22"/>
          <w:lang w:val="sr-Cyrl-CS"/>
        </w:rPr>
        <w:t xml:space="preserve"> </w:t>
      </w:r>
      <w:r w:rsidRPr="0044005F">
        <w:rPr>
          <w:iCs/>
          <w:sz w:val="22"/>
          <w:szCs w:val="22"/>
          <w:lang w:val="sr-Cyrl-CS"/>
        </w:rPr>
        <w:t>Компетентност ментора</w:t>
      </w:r>
    </w:p>
    <w:tbl>
      <w:tblPr>
        <w:tblW w:w="52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390"/>
        <w:gridCol w:w="875"/>
        <w:gridCol w:w="1261"/>
        <w:gridCol w:w="592"/>
        <w:gridCol w:w="213"/>
        <w:gridCol w:w="338"/>
        <w:gridCol w:w="1836"/>
        <w:gridCol w:w="1076"/>
        <w:gridCol w:w="618"/>
        <w:gridCol w:w="373"/>
        <w:gridCol w:w="1015"/>
      </w:tblGrid>
      <w:tr w:rsidR="00494424" w:rsidRPr="00A22864" w14:paraId="22DEBB71" w14:textId="77777777" w:rsidTr="00BE3700">
        <w:trPr>
          <w:trHeight w:val="227"/>
          <w:jc w:val="center"/>
        </w:trPr>
        <w:tc>
          <w:tcPr>
            <w:tcW w:w="1387" w:type="pct"/>
            <w:gridSpan w:val="3"/>
            <w:vAlign w:val="center"/>
          </w:tcPr>
          <w:p w14:paraId="383ED725" w14:textId="77777777" w:rsidR="00494424" w:rsidRPr="00A22864" w:rsidRDefault="00494424" w:rsidP="008E1BFA">
            <w:pPr>
              <w:spacing w:after="60"/>
              <w:rPr>
                <w:lang w:val="sr-Cyrl-CS"/>
              </w:rPr>
            </w:pPr>
            <w:r w:rsidRPr="00A22864">
              <w:rPr>
                <w:b/>
                <w:lang w:val="sr-Cyrl-CS"/>
              </w:rPr>
              <w:t>Име и презиме</w:t>
            </w:r>
          </w:p>
        </w:tc>
        <w:tc>
          <w:tcPr>
            <w:tcW w:w="3613" w:type="pct"/>
            <w:gridSpan w:val="9"/>
            <w:vAlign w:val="center"/>
          </w:tcPr>
          <w:p w14:paraId="5DD08081" w14:textId="77777777" w:rsidR="00494424" w:rsidRPr="00A22864" w:rsidRDefault="00EE5C98" w:rsidP="008E1BFA">
            <w:pPr>
              <w:spacing w:after="60"/>
              <w:rPr>
                <w:lang w:val="sr-Cyrl-CS"/>
              </w:rPr>
            </w:pPr>
            <w:hyperlink r:id="rId5" w:anchor=".YxXTB5ZBzIU" w:history="1">
              <w:r w:rsidR="00BE2813" w:rsidRPr="001E2846">
                <w:rPr>
                  <w:rStyle w:val="Hyperlink"/>
                  <w:lang w:val="sr-Cyrl-CS"/>
                </w:rPr>
                <w:t>Татјана Миљковић</w:t>
              </w:r>
            </w:hyperlink>
          </w:p>
        </w:tc>
      </w:tr>
      <w:tr w:rsidR="00494424" w:rsidRPr="00A22864" w14:paraId="1C0C8797" w14:textId="77777777" w:rsidTr="00BE3700">
        <w:trPr>
          <w:trHeight w:val="227"/>
          <w:jc w:val="center"/>
        </w:trPr>
        <w:tc>
          <w:tcPr>
            <w:tcW w:w="1387" w:type="pct"/>
            <w:gridSpan w:val="3"/>
            <w:vAlign w:val="center"/>
          </w:tcPr>
          <w:p w14:paraId="55C9AB13" w14:textId="77777777" w:rsidR="00494424" w:rsidRPr="00A22864" w:rsidRDefault="00494424" w:rsidP="008E1BFA">
            <w:pPr>
              <w:spacing w:after="60"/>
              <w:rPr>
                <w:lang w:val="sr-Cyrl-CS"/>
              </w:rPr>
            </w:pPr>
            <w:r w:rsidRPr="00A22864">
              <w:rPr>
                <w:b/>
                <w:lang w:val="sr-Cyrl-CS"/>
              </w:rPr>
              <w:t>Звање</w:t>
            </w:r>
          </w:p>
        </w:tc>
        <w:tc>
          <w:tcPr>
            <w:tcW w:w="3613" w:type="pct"/>
            <w:gridSpan w:val="9"/>
            <w:vAlign w:val="center"/>
          </w:tcPr>
          <w:p w14:paraId="34B4ED9E" w14:textId="77777777" w:rsidR="00494424" w:rsidRPr="00A22864" w:rsidRDefault="00537B55" w:rsidP="008E1BFA">
            <w:pPr>
              <w:spacing w:after="60"/>
              <w:rPr>
                <w:lang w:val="sr-Cyrl-CS"/>
              </w:rPr>
            </w:pPr>
            <w:r>
              <w:rPr>
                <w:lang w:val="sr-Cyrl-CS"/>
              </w:rPr>
              <w:t>доцент</w:t>
            </w:r>
          </w:p>
        </w:tc>
      </w:tr>
      <w:tr w:rsidR="00494424" w:rsidRPr="00A22864" w14:paraId="70CFF214" w14:textId="77777777" w:rsidTr="00BE3700">
        <w:trPr>
          <w:trHeight w:val="227"/>
          <w:jc w:val="center"/>
        </w:trPr>
        <w:tc>
          <w:tcPr>
            <w:tcW w:w="1387" w:type="pct"/>
            <w:gridSpan w:val="3"/>
            <w:vAlign w:val="center"/>
          </w:tcPr>
          <w:p w14:paraId="27BA6062" w14:textId="77777777" w:rsidR="00494424" w:rsidRPr="00A22864" w:rsidRDefault="00494424" w:rsidP="008E1BFA">
            <w:pPr>
              <w:spacing w:after="60"/>
              <w:rPr>
                <w:lang w:val="sr-Cyrl-CS"/>
              </w:rPr>
            </w:pPr>
            <w:r w:rsidRPr="00A22864">
              <w:rPr>
                <w:b/>
                <w:lang w:val="sr-Cyrl-CS"/>
              </w:rPr>
              <w:t>Ужа научна</w:t>
            </w:r>
            <w:r>
              <w:rPr>
                <w:b/>
                <w:lang w:val="sr-Cyrl-CS"/>
              </w:rPr>
              <w:t xml:space="preserve">, уметничка односно стручна </w:t>
            </w:r>
            <w:r w:rsidRPr="00A22864">
              <w:rPr>
                <w:b/>
                <w:lang w:val="sr-Cyrl-CS"/>
              </w:rPr>
              <w:t xml:space="preserve"> област</w:t>
            </w:r>
          </w:p>
        </w:tc>
        <w:tc>
          <w:tcPr>
            <w:tcW w:w="3613" w:type="pct"/>
            <w:gridSpan w:val="9"/>
            <w:vAlign w:val="center"/>
          </w:tcPr>
          <w:p w14:paraId="34104FBE" w14:textId="77777777" w:rsidR="00494424" w:rsidRPr="00A22864" w:rsidRDefault="00537B55" w:rsidP="008E1BFA">
            <w:pPr>
              <w:spacing w:after="60"/>
              <w:rPr>
                <w:lang w:val="sr-Cyrl-CS"/>
              </w:rPr>
            </w:pPr>
            <w:r>
              <w:rPr>
                <w:lang w:val="sr-Cyrl-CS"/>
              </w:rPr>
              <w:t>Интерна медицина, кардиологија</w:t>
            </w:r>
          </w:p>
        </w:tc>
      </w:tr>
      <w:tr w:rsidR="00975A90" w:rsidRPr="00A22864" w14:paraId="76E29977" w14:textId="77777777" w:rsidTr="00BE3700">
        <w:trPr>
          <w:trHeight w:val="227"/>
          <w:jc w:val="center"/>
        </w:trPr>
        <w:tc>
          <w:tcPr>
            <w:tcW w:w="955" w:type="pct"/>
            <w:gridSpan w:val="2"/>
            <w:vAlign w:val="center"/>
          </w:tcPr>
          <w:p w14:paraId="7486E319" w14:textId="77777777" w:rsidR="00494424" w:rsidRPr="00A22864" w:rsidRDefault="00494424" w:rsidP="008E1BFA">
            <w:pPr>
              <w:spacing w:after="60"/>
              <w:rPr>
                <w:lang w:val="sr-Cyrl-CS"/>
              </w:rPr>
            </w:pPr>
            <w:r w:rsidRPr="00A22864">
              <w:rPr>
                <w:b/>
                <w:lang w:val="sr-Cyrl-CS"/>
              </w:rPr>
              <w:t>Академска каријера</w:t>
            </w:r>
          </w:p>
        </w:tc>
        <w:tc>
          <w:tcPr>
            <w:tcW w:w="432" w:type="pct"/>
            <w:vAlign w:val="center"/>
          </w:tcPr>
          <w:p w14:paraId="75C31D68" w14:textId="77777777" w:rsidR="00494424" w:rsidRPr="00975A90" w:rsidRDefault="00494424" w:rsidP="00975A90">
            <w:pPr>
              <w:spacing w:after="60"/>
              <w:jc w:val="center"/>
              <w:rPr>
                <w:b/>
                <w:lang w:val="sr-Cyrl-CS"/>
              </w:rPr>
            </w:pPr>
            <w:r w:rsidRPr="00975A90">
              <w:rPr>
                <w:b/>
                <w:lang w:val="sr-Cyrl-CS"/>
              </w:rPr>
              <w:t>Година</w:t>
            </w:r>
          </w:p>
        </w:tc>
        <w:tc>
          <w:tcPr>
            <w:tcW w:w="914" w:type="pct"/>
            <w:gridSpan w:val="2"/>
            <w:vAlign w:val="center"/>
          </w:tcPr>
          <w:p w14:paraId="594C0B34" w14:textId="77777777" w:rsidR="00494424" w:rsidRPr="00975A90" w:rsidRDefault="00494424" w:rsidP="00975A90">
            <w:pPr>
              <w:spacing w:after="60"/>
              <w:jc w:val="center"/>
              <w:rPr>
                <w:b/>
                <w:lang w:val="sr-Cyrl-CS"/>
              </w:rPr>
            </w:pPr>
            <w:r w:rsidRPr="00975A90">
              <w:rPr>
                <w:b/>
                <w:lang w:val="sr-Cyrl-CS"/>
              </w:rPr>
              <w:t>Институција</w:t>
            </w:r>
          </w:p>
        </w:tc>
        <w:tc>
          <w:tcPr>
            <w:tcW w:w="2699" w:type="pct"/>
            <w:gridSpan w:val="7"/>
            <w:vAlign w:val="center"/>
          </w:tcPr>
          <w:p w14:paraId="55569D6F" w14:textId="77777777" w:rsidR="00494424" w:rsidRPr="00975A90" w:rsidRDefault="00494424" w:rsidP="00975A90">
            <w:pPr>
              <w:spacing w:after="60"/>
              <w:jc w:val="center"/>
              <w:rPr>
                <w:b/>
                <w:lang w:val="sr-Cyrl-CS"/>
              </w:rPr>
            </w:pPr>
            <w:r w:rsidRPr="00975A90">
              <w:rPr>
                <w:b/>
                <w:lang w:val="sr-Cyrl-CS"/>
              </w:rPr>
              <w:t>Ужа научна, уметничка односно стручна област</w:t>
            </w:r>
          </w:p>
        </w:tc>
      </w:tr>
      <w:tr w:rsidR="00975A90" w:rsidRPr="00A22864" w14:paraId="093BA2A1" w14:textId="77777777" w:rsidTr="00BE3700">
        <w:trPr>
          <w:trHeight w:val="227"/>
          <w:jc w:val="center"/>
        </w:trPr>
        <w:tc>
          <w:tcPr>
            <w:tcW w:w="955" w:type="pct"/>
            <w:gridSpan w:val="2"/>
            <w:vAlign w:val="center"/>
          </w:tcPr>
          <w:p w14:paraId="6E266AE1" w14:textId="77777777" w:rsidR="00494424" w:rsidRPr="00A22864" w:rsidRDefault="00494424" w:rsidP="008E1BFA">
            <w:pPr>
              <w:spacing w:after="60"/>
              <w:rPr>
                <w:lang w:val="sr-Cyrl-CS"/>
              </w:rPr>
            </w:pPr>
            <w:r w:rsidRPr="00A22864">
              <w:rPr>
                <w:lang w:val="sr-Cyrl-CS"/>
              </w:rPr>
              <w:t>Избор у звање</w:t>
            </w:r>
          </w:p>
        </w:tc>
        <w:tc>
          <w:tcPr>
            <w:tcW w:w="432" w:type="pct"/>
            <w:vAlign w:val="center"/>
          </w:tcPr>
          <w:p w14:paraId="52DF354B" w14:textId="77777777" w:rsidR="00494424" w:rsidRPr="00A22864" w:rsidRDefault="00BE2813" w:rsidP="008E1BFA">
            <w:pPr>
              <w:spacing w:after="60"/>
              <w:rPr>
                <w:lang w:val="sr-Cyrl-CS"/>
              </w:rPr>
            </w:pPr>
            <w:r>
              <w:rPr>
                <w:lang w:val="sr-Cyrl-CS"/>
              </w:rPr>
              <w:t>2021</w:t>
            </w:r>
            <w:r w:rsidR="00537B55">
              <w:rPr>
                <w:lang w:val="sr-Cyrl-CS"/>
              </w:rPr>
              <w:t>.</w:t>
            </w:r>
          </w:p>
        </w:tc>
        <w:tc>
          <w:tcPr>
            <w:tcW w:w="914" w:type="pct"/>
            <w:gridSpan w:val="2"/>
            <w:vAlign w:val="center"/>
          </w:tcPr>
          <w:p w14:paraId="580C6C51" w14:textId="77777777" w:rsidR="00494424" w:rsidRPr="00A22864" w:rsidRDefault="00537B55" w:rsidP="008E1BFA">
            <w:pPr>
              <w:spacing w:after="60"/>
              <w:rPr>
                <w:lang w:val="sr-Cyrl-CS"/>
              </w:rPr>
            </w:pPr>
            <w:r>
              <w:rPr>
                <w:lang w:val="sr-Cyrl-CS"/>
              </w:rPr>
              <w:t>Медицински факултет Нови Сад</w:t>
            </w:r>
          </w:p>
        </w:tc>
        <w:tc>
          <w:tcPr>
            <w:tcW w:w="2699" w:type="pct"/>
            <w:gridSpan w:val="7"/>
            <w:vAlign w:val="center"/>
          </w:tcPr>
          <w:p w14:paraId="6FA432BE" w14:textId="77777777" w:rsidR="00494424" w:rsidRPr="00A22864" w:rsidRDefault="00537B55" w:rsidP="008E1BFA">
            <w:pPr>
              <w:spacing w:after="60"/>
              <w:rPr>
                <w:lang w:val="sr-Cyrl-CS"/>
              </w:rPr>
            </w:pPr>
            <w:r>
              <w:rPr>
                <w:lang w:val="sr-Cyrl-CS"/>
              </w:rPr>
              <w:t>Интерна медицина, кардиологија</w:t>
            </w:r>
          </w:p>
        </w:tc>
      </w:tr>
      <w:tr w:rsidR="00975A90" w:rsidRPr="00A22864" w14:paraId="244B69D2" w14:textId="77777777" w:rsidTr="00BE3700">
        <w:trPr>
          <w:trHeight w:val="227"/>
          <w:jc w:val="center"/>
        </w:trPr>
        <w:tc>
          <w:tcPr>
            <w:tcW w:w="955" w:type="pct"/>
            <w:gridSpan w:val="2"/>
            <w:vAlign w:val="center"/>
          </w:tcPr>
          <w:p w14:paraId="4FDABADA" w14:textId="77777777" w:rsidR="00494424" w:rsidRPr="00A22864" w:rsidRDefault="00494424" w:rsidP="008E1BFA">
            <w:pPr>
              <w:spacing w:after="60"/>
              <w:rPr>
                <w:lang w:val="sr-Cyrl-CS"/>
              </w:rPr>
            </w:pPr>
            <w:r w:rsidRPr="00A22864">
              <w:rPr>
                <w:lang w:val="sr-Cyrl-CS"/>
              </w:rPr>
              <w:t>Докторат</w:t>
            </w:r>
          </w:p>
        </w:tc>
        <w:tc>
          <w:tcPr>
            <w:tcW w:w="432" w:type="pct"/>
            <w:vAlign w:val="center"/>
          </w:tcPr>
          <w:p w14:paraId="153F1829" w14:textId="77777777" w:rsidR="00494424" w:rsidRPr="00A22864" w:rsidRDefault="00537B55" w:rsidP="008E1BFA">
            <w:pPr>
              <w:spacing w:after="60"/>
              <w:rPr>
                <w:lang w:val="sr-Cyrl-CS"/>
              </w:rPr>
            </w:pPr>
            <w:r>
              <w:rPr>
                <w:lang w:val="sr-Cyrl-CS"/>
              </w:rPr>
              <w:t>2019.</w:t>
            </w:r>
          </w:p>
        </w:tc>
        <w:tc>
          <w:tcPr>
            <w:tcW w:w="914" w:type="pct"/>
            <w:gridSpan w:val="2"/>
            <w:vAlign w:val="center"/>
          </w:tcPr>
          <w:p w14:paraId="308EA401" w14:textId="77777777" w:rsidR="00494424" w:rsidRPr="00A22864" w:rsidRDefault="00537B55" w:rsidP="008E1BFA">
            <w:pPr>
              <w:spacing w:after="60"/>
              <w:rPr>
                <w:lang w:val="sr-Cyrl-CS"/>
              </w:rPr>
            </w:pPr>
            <w:r>
              <w:rPr>
                <w:lang w:val="sr-Cyrl-CS"/>
              </w:rPr>
              <w:t>Медицински факултет Нови Сад</w:t>
            </w:r>
          </w:p>
        </w:tc>
        <w:tc>
          <w:tcPr>
            <w:tcW w:w="2699" w:type="pct"/>
            <w:gridSpan w:val="7"/>
            <w:vAlign w:val="center"/>
          </w:tcPr>
          <w:p w14:paraId="6B367C4C" w14:textId="77777777" w:rsidR="00494424" w:rsidRPr="00A22864" w:rsidRDefault="00537B55" w:rsidP="008E1BFA">
            <w:pPr>
              <w:spacing w:after="60"/>
              <w:rPr>
                <w:lang w:val="sr-Cyrl-CS"/>
              </w:rPr>
            </w:pPr>
            <w:r w:rsidRPr="00537B55">
              <w:rPr>
                <w:lang w:val="sr-Cyrl-CS"/>
              </w:rPr>
              <w:t>Интерна медицина, кардиологија</w:t>
            </w:r>
          </w:p>
        </w:tc>
      </w:tr>
      <w:tr w:rsidR="00975A90" w:rsidRPr="00A22864" w14:paraId="6714CE75" w14:textId="77777777" w:rsidTr="00BE3700">
        <w:trPr>
          <w:trHeight w:val="227"/>
          <w:jc w:val="center"/>
        </w:trPr>
        <w:tc>
          <w:tcPr>
            <w:tcW w:w="955" w:type="pct"/>
            <w:gridSpan w:val="2"/>
            <w:vAlign w:val="center"/>
          </w:tcPr>
          <w:p w14:paraId="7C275AA7" w14:textId="77777777" w:rsidR="00975A90" w:rsidRPr="00975A90" w:rsidRDefault="00975A90" w:rsidP="008E1BFA">
            <w:pPr>
              <w:spacing w:after="60"/>
            </w:pPr>
            <w:r>
              <w:t>Специјализација</w:t>
            </w:r>
          </w:p>
        </w:tc>
        <w:tc>
          <w:tcPr>
            <w:tcW w:w="432" w:type="pct"/>
            <w:vAlign w:val="center"/>
          </w:tcPr>
          <w:p w14:paraId="0CCDAFCF" w14:textId="77777777" w:rsidR="00975A90" w:rsidRDefault="00BE2813" w:rsidP="008E1BFA">
            <w:pPr>
              <w:spacing w:after="60"/>
              <w:rPr>
                <w:lang w:val="sr-Cyrl-CS"/>
              </w:rPr>
            </w:pPr>
            <w:r>
              <w:rPr>
                <w:lang w:val="sr-Cyrl-CS"/>
              </w:rPr>
              <w:t>2007</w:t>
            </w:r>
            <w:r w:rsidR="00537B55">
              <w:rPr>
                <w:lang w:val="sr-Cyrl-CS"/>
              </w:rPr>
              <w:t>.</w:t>
            </w:r>
          </w:p>
          <w:p w14:paraId="49DE447B" w14:textId="77777777" w:rsidR="00537B55" w:rsidRPr="00A22864" w:rsidRDefault="00537B55" w:rsidP="008E1BFA">
            <w:pPr>
              <w:spacing w:after="60"/>
              <w:rPr>
                <w:lang w:val="sr-Cyrl-CS"/>
              </w:rPr>
            </w:pPr>
            <w:r>
              <w:rPr>
                <w:lang w:val="sr-Cyrl-CS"/>
              </w:rPr>
              <w:t>2014.</w:t>
            </w:r>
          </w:p>
        </w:tc>
        <w:tc>
          <w:tcPr>
            <w:tcW w:w="914" w:type="pct"/>
            <w:gridSpan w:val="2"/>
            <w:vAlign w:val="center"/>
          </w:tcPr>
          <w:p w14:paraId="6EF609EF" w14:textId="77777777" w:rsidR="00975A90" w:rsidRPr="00A22864" w:rsidRDefault="00537B55" w:rsidP="008E1BFA">
            <w:pPr>
              <w:spacing w:after="60"/>
              <w:rPr>
                <w:lang w:val="sr-Cyrl-CS"/>
              </w:rPr>
            </w:pPr>
            <w:r w:rsidRPr="00537B55">
              <w:rPr>
                <w:lang w:val="sr-Cyrl-CS"/>
              </w:rPr>
              <w:t>Медицински факултет Нови Сад</w:t>
            </w:r>
          </w:p>
        </w:tc>
        <w:tc>
          <w:tcPr>
            <w:tcW w:w="2699" w:type="pct"/>
            <w:gridSpan w:val="7"/>
            <w:vAlign w:val="center"/>
          </w:tcPr>
          <w:p w14:paraId="6FE7FB33" w14:textId="77777777" w:rsidR="00975A90" w:rsidRDefault="00537B55" w:rsidP="008E1BFA">
            <w:pPr>
              <w:spacing w:after="60"/>
              <w:rPr>
                <w:lang w:val="sr-Cyrl-CS"/>
              </w:rPr>
            </w:pPr>
            <w:r>
              <w:rPr>
                <w:lang w:val="sr-Cyrl-CS"/>
              </w:rPr>
              <w:t>Интерна медицина</w:t>
            </w:r>
          </w:p>
          <w:p w14:paraId="319CCA97" w14:textId="77777777" w:rsidR="00537B55" w:rsidRPr="00A22864" w:rsidRDefault="00537B55" w:rsidP="008E1BFA">
            <w:pPr>
              <w:spacing w:after="60"/>
              <w:rPr>
                <w:lang w:val="sr-Cyrl-CS"/>
              </w:rPr>
            </w:pPr>
            <w:r>
              <w:rPr>
                <w:lang w:val="sr-Cyrl-CS"/>
              </w:rPr>
              <w:t>Кардиологија</w:t>
            </w:r>
          </w:p>
        </w:tc>
      </w:tr>
      <w:tr w:rsidR="00975A90" w:rsidRPr="00A22864" w14:paraId="14DB1564" w14:textId="77777777" w:rsidTr="00BE3700">
        <w:trPr>
          <w:trHeight w:val="227"/>
          <w:jc w:val="center"/>
        </w:trPr>
        <w:tc>
          <w:tcPr>
            <w:tcW w:w="955" w:type="pct"/>
            <w:gridSpan w:val="2"/>
            <w:vAlign w:val="center"/>
          </w:tcPr>
          <w:p w14:paraId="244142E9" w14:textId="77777777" w:rsidR="00494424" w:rsidRPr="00A22864" w:rsidRDefault="00494424" w:rsidP="008E1BFA">
            <w:pPr>
              <w:spacing w:after="60"/>
              <w:rPr>
                <w:lang w:val="sr-Cyrl-CS"/>
              </w:rPr>
            </w:pPr>
            <w:r w:rsidRPr="00A22864">
              <w:rPr>
                <w:lang w:val="sr-Cyrl-CS"/>
              </w:rPr>
              <w:t>Диплома</w:t>
            </w:r>
          </w:p>
        </w:tc>
        <w:tc>
          <w:tcPr>
            <w:tcW w:w="432" w:type="pct"/>
            <w:vAlign w:val="center"/>
          </w:tcPr>
          <w:p w14:paraId="76B0A767" w14:textId="77777777" w:rsidR="00494424" w:rsidRPr="00A22864" w:rsidRDefault="00537B55" w:rsidP="008E1BFA">
            <w:pPr>
              <w:spacing w:after="60"/>
              <w:rPr>
                <w:lang w:val="sr-Cyrl-CS"/>
              </w:rPr>
            </w:pPr>
            <w:r>
              <w:rPr>
                <w:lang w:val="sr-Cyrl-CS"/>
              </w:rPr>
              <w:t>2001.</w:t>
            </w:r>
          </w:p>
        </w:tc>
        <w:tc>
          <w:tcPr>
            <w:tcW w:w="914" w:type="pct"/>
            <w:gridSpan w:val="2"/>
            <w:vAlign w:val="center"/>
          </w:tcPr>
          <w:p w14:paraId="7213148C" w14:textId="77777777" w:rsidR="00494424" w:rsidRPr="00A22864" w:rsidRDefault="00537B55" w:rsidP="008E1BFA">
            <w:pPr>
              <w:spacing w:after="60"/>
              <w:rPr>
                <w:lang w:val="sr-Cyrl-CS"/>
              </w:rPr>
            </w:pPr>
            <w:r w:rsidRPr="00537B55">
              <w:rPr>
                <w:lang w:val="sr-Cyrl-CS"/>
              </w:rPr>
              <w:t>Медицински факултет Нови Сад</w:t>
            </w:r>
          </w:p>
        </w:tc>
        <w:tc>
          <w:tcPr>
            <w:tcW w:w="2699" w:type="pct"/>
            <w:gridSpan w:val="7"/>
            <w:vAlign w:val="center"/>
          </w:tcPr>
          <w:p w14:paraId="6108420F" w14:textId="77777777" w:rsidR="00494424" w:rsidRPr="00A22864" w:rsidRDefault="00537B55" w:rsidP="008E1BFA">
            <w:pPr>
              <w:spacing w:after="60"/>
              <w:rPr>
                <w:lang w:val="sr-Cyrl-CS"/>
              </w:rPr>
            </w:pPr>
            <w:r>
              <w:rPr>
                <w:lang w:val="sr-Cyrl-CS"/>
              </w:rPr>
              <w:t>Општа медицина</w:t>
            </w:r>
          </w:p>
        </w:tc>
      </w:tr>
      <w:tr w:rsidR="00494424" w:rsidRPr="00A22864" w14:paraId="58FDE8EA" w14:textId="77777777" w:rsidTr="00BE3700">
        <w:trPr>
          <w:trHeight w:val="227"/>
          <w:jc w:val="center"/>
        </w:trPr>
        <w:tc>
          <w:tcPr>
            <w:tcW w:w="5000" w:type="pct"/>
            <w:gridSpan w:val="12"/>
            <w:vAlign w:val="center"/>
          </w:tcPr>
          <w:p w14:paraId="33D04BEF" w14:textId="77777777" w:rsidR="00494424" w:rsidRPr="00A22864" w:rsidRDefault="00494424" w:rsidP="008E1BFA">
            <w:pPr>
              <w:spacing w:after="60"/>
              <w:rPr>
                <w:lang w:val="sr-Cyrl-CS"/>
              </w:rPr>
            </w:pPr>
            <w:r>
              <w:rPr>
                <w:b/>
                <w:lang w:val="sr-Cyrl-CS"/>
              </w:rPr>
              <w:t>Списак дисертација</w:t>
            </w:r>
            <w:r>
              <w:rPr>
                <w:b/>
              </w:rPr>
              <w:t xml:space="preserve">-докторских уметничких пројеката </w:t>
            </w:r>
            <w:r w:rsidRPr="00A22864">
              <w:rPr>
                <w:b/>
                <w:lang w:val="sr-Cyrl-CS"/>
              </w:rPr>
              <w:t>а у којима је наставнк ментор или је био ментор у претходних 10 година</w:t>
            </w:r>
          </w:p>
        </w:tc>
      </w:tr>
      <w:tr w:rsidR="00494424" w:rsidRPr="00A22864" w14:paraId="38FB784E" w14:textId="77777777" w:rsidTr="00BE3700">
        <w:trPr>
          <w:trHeight w:val="227"/>
          <w:jc w:val="center"/>
        </w:trPr>
        <w:tc>
          <w:tcPr>
            <w:tcW w:w="269" w:type="pct"/>
            <w:vAlign w:val="center"/>
          </w:tcPr>
          <w:p w14:paraId="1FDD31BA" w14:textId="77777777" w:rsidR="00494424" w:rsidRPr="00A22864" w:rsidRDefault="00494424" w:rsidP="008E1BFA">
            <w:pPr>
              <w:spacing w:after="60"/>
              <w:rPr>
                <w:lang w:val="sr-Cyrl-CS"/>
              </w:rPr>
            </w:pPr>
            <w:r w:rsidRPr="00A22864">
              <w:rPr>
                <w:lang w:val="sr-Cyrl-CS"/>
              </w:rPr>
              <w:t>Р.Б.</w:t>
            </w:r>
          </w:p>
        </w:tc>
        <w:tc>
          <w:tcPr>
            <w:tcW w:w="1740" w:type="pct"/>
            <w:gridSpan w:val="3"/>
            <w:vAlign w:val="center"/>
          </w:tcPr>
          <w:p w14:paraId="03C96273" w14:textId="77777777" w:rsidR="00494424" w:rsidRPr="000D32C3" w:rsidRDefault="00494424" w:rsidP="008E1BFA">
            <w:pPr>
              <w:spacing w:after="60"/>
            </w:pPr>
            <w:r w:rsidRPr="00A22864">
              <w:rPr>
                <w:lang w:val="sr-Cyrl-CS"/>
              </w:rPr>
              <w:t>Наслов дисертације</w:t>
            </w:r>
            <w:r>
              <w:t xml:space="preserve">- докторског уметничког пројекта </w:t>
            </w:r>
          </w:p>
        </w:tc>
        <w:tc>
          <w:tcPr>
            <w:tcW w:w="564" w:type="pct"/>
            <w:gridSpan w:val="3"/>
            <w:vAlign w:val="center"/>
          </w:tcPr>
          <w:p w14:paraId="5FD279E4" w14:textId="77777777" w:rsidR="00494424" w:rsidRPr="00A22864" w:rsidRDefault="00494424" w:rsidP="008E1BFA">
            <w:pPr>
              <w:spacing w:after="60"/>
              <w:rPr>
                <w:lang w:val="sr-Cyrl-CS"/>
              </w:rPr>
            </w:pPr>
            <w:r w:rsidRPr="00A22864">
              <w:rPr>
                <w:lang w:val="sr-Cyrl-CS"/>
              </w:rPr>
              <w:t>Име кандидата</w:t>
            </w:r>
          </w:p>
        </w:tc>
        <w:tc>
          <w:tcPr>
            <w:tcW w:w="906" w:type="pct"/>
            <w:vAlign w:val="center"/>
          </w:tcPr>
          <w:p w14:paraId="289B0ECC" w14:textId="77777777" w:rsidR="00494424" w:rsidRPr="00A22864" w:rsidRDefault="00494424" w:rsidP="008E1BFA">
            <w:pPr>
              <w:spacing w:after="60"/>
              <w:rPr>
                <w:lang w:val="sr-Cyrl-CS"/>
              </w:rPr>
            </w:pPr>
            <w:r w:rsidRPr="00A22864">
              <w:rPr>
                <w:lang w:val="sr-Cyrl-CS"/>
              </w:rPr>
              <w:t xml:space="preserve">*пријављена </w:t>
            </w:r>
          </w:p>
        </w:tc>
        <w:tc>
          <w:tcPr>
            <w:tcW w:w="1521" w:type="pct"/>
            <w:gridSpan w:val="4"/>
            <w:vAlign w:val="center"/>
          </w:tcPr>
          <w:p w14:paraId="5F938252" w14:textId="77777777" w:rsidR="00494424" w:rsidRPr="00A22864" w:rsidRDefault="00494424" w:rsidP="008E1BFA">
            <w:pPr>
              <w:spacing w:after="60"/>
              <w:rPr>
                <w:lang w:val="sr-Cyrl-CS"/>
              </w:rPr>
            </w:pPr>
            <w:r w:rsidRPr="00A22864">
              <w:rPr>
                <w:lang w:val="sr-Cyrl-CS"/>
              </w:rPr>
              <w:t>** одбрањена</w:t>
            </w:r>
          </w:p>
        </w:tc>
      </w:tr>
      <w:tr w:rsidR="00494424" w:rsidRPr="00A22864" w14:paraId="13AB701B" w14:textId="77777777" w:rsidTr="00BE3700">
        <w:trPr>
          <w:trHeight w:val="227"/>
          <w:jc w:val="center"/>
        </w:trPr>
        <w:tc>
          <w:tcPr>
            <w:tcW w:w="269" w:type="pct"/>
            <w:vAlign w:val="center"/>
          </w:tcPr>
          <w:p w14:paraId="22430D1F" w14:textId="77777777" w:rsidR="00494424" w:rsidRPr="00A22864" w:rsidRDefault="00494424" w:rsidP="008E1BFA">
            <w:pPr>
              <w:spacing w:after="60"/>
              <w:rPr>
                <w:lang w:val="sr-Cyrl-CS"/>
              </w:rPr>
            </w:pPr>
          </w:p>
        </w:tc>
        <w:tc>
          <w:tcPr>
            <w:tcW w:w="1740" w:type="pct"/>
            <w:gridSpan w:val="3"/>
            <w:vAlign w:val="center"/>
          </w:tcPr>
          <w:p w14:paraId="015B2E5D" w14:textId="77777777" w:rsidR="00494424" w:rsidRPr="00A22864" w:rsidRDefault="00494424" w:rsidP="008E1BFA">
            <w:pPr>
              <w:spacing w:after="60"/>
              <w:rPr>
                <w:lang w:val="sr-Cyrl-CS"/>
              </w:rPr>
            </w:pPr>
          </w:p>
        </w:tc>
        <w:tc>
          <w:tcPr>
            <w:tcW w:w="564" w:type="pct"/>
            <w:gridSpan w:val="3"/>
            <w:vAlign w:val="center"/>
          </w:tcPr>
          <w:p w14:paraId="220E5FEF" w14:textId="77777777" w:rsidR="00494424" w:rsidRPr="00A22864" w:rsidRDefault="00494424" w:rsidP="008E1BFA">
            <w:pPr>
              <w:spacing w:after="60"/>
              <w:rPr>
                <w:lang w:val="sr-Cyrl-CS"/>
              </w:rPr>
            </w:pPr>
          </w:p>
        </w:tc>
        <w:tc>
          <w:tcPr>
            <w:tcW w:w="906" w:type="pct"/>
            <w:vAlign w:val="center"/>
          </w:tcPr>
          <w:p w14:paraId="1C830581" w14:textId="77777777" w:rsidR="00494424" w:rsidRPr="00A22864" w:rsidRDefault="00494424" w:rsidP="008E1BFA">
            <w:pPr>
              <w:spacing w:after="60"/>
              <w:rPr>
                <w:lang w:val="sr-Cyrl-CS"/>
              </w:rPr>
            </w:pPr>
          </w:p>
        </w:tc>
        <w:tc>
          <w:tcPr>
            <w:tcW w:w="1521" w:type="pct"/>
            <w:gridSpan w:val="4"/>
            <w:vAlign w:val="center"/>
          </w:tcPr>
          <w:p w14:paraId="6976F53F" w14:textId="77777777" w:rsidR="00494424" w:rsidRPr="00A22864" w:rsidRDefault="00494424" w:rsidP="008E1BFA">
            <w:pPr>
              <w:spacing w:after="60"/>
              <w:rPr>
                <w:lang w:val="sr-Cyrl-CS"/>
              </w:rPr>
            </w:pPr>
          </w:p>
        </w:tc>
      </w:tr>
      <w:tr w:rsidR="00494424" w:rsidRPr="00A22864" w14:paraId="68369226" w14:textId="77777777" w:rsidTr="00BE3700">
        <w:trPr>
          <w:trHeight w:val="227"/>
          <w:jc w:val="center"/>
        </w:trPr>
        <w:tc>
          <w:tcPr>
            <w:tcW w:w="269" w:type="pct"/>
            <w:vAlign w:val="center"/>
          </w:tcPr>
          <w:p w14:paraId="32F8817E" w14:textId="77777777" w:rsidR="00494424" w:rsidRPr="00A22864" w:rsidRDefault="00494424" w:rsidP="008E1BFA">
            <w:pPr>
              <w:spacing w:after="60"/>
              <w:rPr>
                <w:lang w:val="sr-Cyrl-CS"/>
              </w:rPr>
            </w:pPr>
          </w:p>
        </w:tc>
        <w:tc>
          <w:tcPr>
            <w:tcW w:w="1740" w:type="pct"/>
            <w:gridSpan w:val="3"/>
            <w:vAlign w:val="center"/>
          </w:tcPr>
          <w:p w14:paraId="028C95C5" w14:textId="77777777" w:rsidR="00494424" w:rsidRPr="00A22864" w:rsidRDefault="00494424" w:rsidP="008E1BFA">
            <w:pPr>
              <w:spacing w:after="60"/>
              <w:rPr>
                <w:lang w:val="sr-Cyrl-CS"/>
              </w:rPr>
            </w:pPr>
          </w:p>
        </w:tc>
        <w:tc>
          <w:tcPr>
            <w:tcW w:w="564" w:type="pct"/>
            <w:gridSpan w:val="3"/>
            <w:vAlign w:val="center"/>
          </w:tcPr>
          <w:p w14:paraId="665A559F" w14:textId="77777777" w:rsidR="00494424" w:rsidRPr="00A22864" w:rsidRDefault="00494424" w:rsidP="008E1BFA">
            <w:pPr>
              <w:spacing w:after="60"/>
              <w:rPr>
                <w:lang w:val="sr-Cyrl-CS"/>
              </w:rPr>
            </w:pPr>
          </w:p>
        </w:tc>
        <w:tc>
          <w:tcPr>
            <w:tcW w:w="906" w:type="pct"/>
            <w:vAlign w:val="center"/>
          </w:tcPr>
          <w:p w14:paraId="3293914D" w14:textId="77777777" w:rsidR="00494424" w:rsidRPr="00A22864" w:rsidRDefault="00494424" w:rsidP="008E1BFA">
            <w:pPr>
              <w:spacing w:after="60"/>
              <w:rPr>
                <w:lang w:val="sr-Cyrl-CS"/>
              </w:rPr>
            </w:pPr>
          </w:p>
        </w:tc>
        <w:tc>
          <w:tcPr>
            <w:tcW w:w="1521" w:type="pct"/>
            <w:gridSpan w:val="4"/>
            <w:vAlign w:val="center"/>
          </w:tcPr>
          <w:p w14:paraId="623A0DF6" w14:textId="77777777" w:rsidR="00494424" w:rsidRPr="00A22864" w:rsidRDefault="00494424" w:rsidP="008E1BFA">
            <w:pPr>
              <w:spacing w:after="60"/>
              <w:rPr>
                <w:lang w:val="sr-Cyrl-CS"/>
              </w:rPr>
            </w:pPr>
          </w:p>
        </w:tc>
      </w:tr>
      <w:tr w:rsidR="00494424" w:rsidRPr="00A22864" w14:paraId="67901377" w14:textId="77777777" w:rsidTr="00BE3700">
        <w:trPr>
          <w:trHeight w:val="227"/>
          <w:jc w:val="center"/>
        </w:trPr>
        <w:tc>
          <w:tcPr>
            <w:tcW w:w="269" w:type="pct"/>
            <w:vAlign w:val="center"/>
          </w:tcPr>
          <w:p w14:paraId="10919858" w14:textId="77777777" w:rsidR="00494424" w:rsidRPr="00A22864" w:rsidRDefault="00494424" w:rsidP="008E1BFA">
            <w:pPr>
              <w:spacing w:after="60"/>
              <w:rPr>
                <w:lang w:val="sr-Cyrl-CS"/>
              </w:rPr>
            </w:pPr>
          </w:p>
        </w:tc>
        <w:tc>
          <w:tcPr>
            <w:tcW w:w="1740" w:type="pct"/>
            <w:gridSpan w:val="3"/>
            <w:vAlign w:val="center"/>
          </w:tcPr>
          <w:p w14:paraId="3C8E27F5" w14:textId="77777777" w:rsidR="00494424" w:rsidRPr="00A22864" w:rsidRDefault="00494424" w:rsidP="008E1BFA">
            <w:pPr>
              <w:spacing w:after="60"/>
              <w:rPr>
                <w:lang w:val="sr-Cyrl-CS"/>
              </w:rPr>
            </w:pPr>
          </w:p>
        </w:tc>
        <w:tc>
          <w:tcPr>
            <w:tcW w:w="564" w:type="pct"/>
            <w:gridSpan w:val="3"/>
            <w:vAlign w:val="center"/>
          </w:tcPr>
          <w:p w14:paraId="349FC07D" w14:textId="77777777" w:rsidR="00494424" w:rsidRPr="00A22864" w:rsidRDefault="00494424" w:rsidP="008E1BFA">
            <w:pPr>
              <w:spacing w:after="60"/>
              <w:rPr>
                <w:lang w:val="sr-Cyrl-CS"/>
              </w:rPr>
            </w:pPr>
          </w:p>
        </w:tc>
        <w:tc>
          <w:tcPr>
            <w:tcW w:w="906" w:type="pct"/>
            <w:vAlign w:val="center"/>
          </w:tcPr>
          <w:p w14:paraId="6FA8571F" w14:textId="77777777" w:rsidR="00494424" w:rsidRPr="00A22864" w:rsidRDefault="00494424" w:rsidP="008E1BFA">
            <w:pPr>
              <w:spacing w:after="60"/>
              <w:rPr>
                <w:lang w:val="sr-Cyrl-CS"/>
              </w:rPr>
            </w:pPr>
          </w:p>
        </w:tc>
        <w:tc>
          <w:tcPr>
            <w:tcW w:w="1521" w:type="pct"/>
            <w:gridSpan w:val="4"/>
            <w:vAlign w:val="center"/>
          </w:tcPr>
          <w:p w14:paraId="282326B1" w14:textId="77777777" w:rsidR="00494424" w:rsidRPr="00A22864" w:rsidRDefault="00494424" w:rsidP="008E1BFA">
            <w:pPr>
              <w:spacing w:after="60"/>
              <w:rPr>
                <w:lang w:val="sr-Cyrl-CS"/>
              </w:rPr>
            </w:pPr>
          </w:p>
        </w:tc>
      </w:tr>
      <w:tr w:rsidR="00494424" w:rsidRPr="00A22864" w14:paraId="5F0A1A10" w14:textId="77777777" w:rsidTr="00BE3700">
        <w:trPr>
          <w:trHeight w:val="227"/>
          <w:jc w:val="center"/>
        </w:trPr>
        <w:tc>
          <w:tcPr>
            <w:tcW w:w="5000" w:type="pct"/>
            <w:gridSpan w:val="12"/>
            <w:vAlign w:val="center"/>
          </w:tcPr>
          <w:p w14:paraId="1D479ACB" w14:textId="77777777" w:rsidR="00494424" w:rsidRPr="00A22864" w:rsidRDefault="00494424" w:rsidP="00975A90">
            <w:pPr>
              <w:spacing w:after="60"/>
              <w:jc w:val="both"/>
              <w:rPr>
                <w:lang w:val="sr-Cyrl-CS"/>
              </w:rPr>
            </w:pPr>
            <w:r w:rsidRPr="00A22864">
              <w:rPr>
                <w:lang w:val="sr-Cyrl-CS"/>
              </w:rPr>
              <w:t>*Година  у којој је дисертација</w:t>
            </w:r>
            <w:r>
              <w:t xml:space="preserve">-докторски уметнички пројекат </w:t>
            </w:r>
            <w:r>
              <w:rPr>
                <w:lang w:val="sr-Cyrl-CS"/>
              </w:rPr>
              <w:t xml:space="preserve"> пријављена</w:t>
            </w:r>
            <w:r>
              <w:t xml:space="preserve">-пријављен </w:t>
            </w:r>
            <w:r w:rsidRPr="00A22864">
              <w:rPr>
                <w:lang w:val="sr-Cyrl-CS"/>
              </w:rPr>
              <w:t>(само за дисертације</w:t>
            </w:r>
            <w:r>
              <w:t xml:space="preserve">-докторске уметничке пројекте </w:t>
            </w:r>
            <w:r w:rsidRPr="00A22864">
              <w:rPr>
                <w:lang w:val="sr-Cyrl-CS"/>
              </w:rPr>
              <w:t xml:space="preserve"> које су у току), ** Година у којој је дисертација</w:t>
            </w:r>
            <w:r>
              <w:t xml:space="preserve">-докторски уметнички пројекат </w:t>
            </w:r>
            <w:r w:rsidRPr="00A22864">
              <w:rPr>
                <w:lang w:val="sr-Cyrl-CS"/>
              </w:rPr>
              <w:t xml:space="preserve"> одбрањена (само за дисертације</w:t>
            </w:r>
            <w:r>
              <w:t xml:space="preserve">-докторско уметничке пројекте </w:t>
            </w:r>
            <w:r w:rsidRPr="00A22864">
              <w:rPr>
                <w:lang w:val="sr-Cyrl-CS"/>
              </w:rPr>
              <w:t xml:space="preserve"> из ранијег периода)</w:t>
            </w:r>
          </w:p>
        </w:tc>
      </w:tr>
      <w:tr w:rsidR="00494424" w:rsidRPr="00A22864" w14:paraId="2E6EF6BA" w14:textId="77777777" w:rsidTr="00BE3700">
        <w:trPr>
          <w:trHeight w:val="227"/>
          <w:jc w:val="center"/>
        </w:trPr>
        <w:tc>
          <w:tcPr>
            <w:tcW w:w="5000" w:type="pct"/>
            <w:gridSpan w:val="12"/>
            <w:vAlign w:val="center"/>
          </w:tcPr>
          <w:p w14:paraId="2196BA1F" w14:textId="77777777" w:rsidR="00494424" w:rsidRPr="00FA083F" w:rsidRDefault="00494424" w:rsidP="00975A90">
            <w:pPr>
              <w:spacing w:after="60"/>
              <w:jc w:val="both"/>
              <w:rPr>
                <w:b/>
              </w:rPr>
            </w:pPr>
            <w:r w:rsidRPr="00DE2909">
              <w:rPr>
                <w:b/>
                <w:lang w:val="sr-Cyrl-CS"/>
              </w:rPr>
              <w:t>Категоризација публикације</w:t>
            </w:r>
            <w:r>
              <w:rPr>
                <w:b/>
              </w:rPr>
              <w:t xml:space="preserve"> научних радова </w:t>
            </w:r>
            <w:r w:rsidRPr="00DE2909">
              <w:rPr>
                <w:b/>
              </w:rPr>
              <w:t xml:space="preserve"> из области датог студијског програма </w:t>
            </w:r>
            <w:r w:rsidRPr="00DE2909">
              <w:rPr>
                <w:b/>
                <w:lang w:val="sr-Cyrl-CS"/>
              </w:rPr>
              <w:t xml:space="preserve"> према класификацији ре</w:t>
            </w:r>
            <w:r>
              <w:rPr>
                <w:b/>
              </w:rPr>
              <w:t>с</w:t>
            </w:r>
            <w:r w:rsidRPr="00DE2909">
              <w:rPr>
                <w:b/>
                <w:lang w:val="sr-Cyrl-CS"/>
              </w:rPr>
              <w:t>орног Министарства просвете, науке и технолошког развоја  а у складу са допунским захтевевима  стандарда за дато</w:t>
            </w:r>
            <w:r>
              <w:rPr>
                <w:b/>
                <w:lang w:val="sr-Cyrl-CS"/>
              </w:rPr>
              <w:t xml:space="preserve"> поље</w:t>
            </w:r>
          </w:p>
        </w:tc>
      </w:tr>
      <w:tr w:rsidR="00FA083F" w:rsidRPr="00A22864" w14:paraId="421D5782" w14:textId="77777777" w:rsidTr="00BE3700">
        <w:trPr>
          <w:trHeight w:val="227"/>
          <w:jc w:val="center"/>
        </w:trPr>
        <w:tc>
          <w:tcPr>
            <w:tcW w:w="269" w:type="pct"/>
            <w:vAlign w:val="center"/>
          </w:tcPr>
          <w:p w14:paraId="71FC11A3" w14:textId="77777777" w:rsidR="00FA083F" w:rsidRPr="00975A90" w:rsidRDefault="00FA083F" w:rsidP="00417E8C">
            <w:pPr>
              <w:spacing w:line="276" w:lineRule="auto"/>
              <w:ind w:left="-23"/>
              <w:jc w:val="center"/>
              <w:rPr>
                <w:b/>
              </w:rPr>
            </w:pPr>
            <w:r w:rsidRPr="00975A90">
              <w:rPr>
                <w:b/>
              </w:rPr>
              <w:t>Р.б.</w:t>
            </w:r>
          </w:p>
        </w:tc>
        <w:tc>
          <w:tcPr>
            <w:tcW w:w="3210" w:type="pct"/>
            <w:gridSpan w:val="7"/>
          </w:tcPr>
          <w:p w14:paraId="6E3D92C6" w14:textId="77777777" w:rsidR="00FA083F" w:rsidRPr="00975A90" w:rsidRDefault="00FA083F" w:rsidP="00417E8C">
            <w:pPr>
              <w:pStyle w:val="TableParagraph"/>
              <w:spacing w:line="276" w:lineRule="auto"/>
              <w:ind w:left="65" w:right="-15"/>
              <w:jc w:val="center"/>
              <w:rPr>
                <w:b/>
                <w:sz w:val="20"/>
                <w:szCs w:val="20"/>
              </w:rPr>
            </w:pPr>
            <w:proofErr w:type="spellStart"/>
            <w:r w:rsidRPr="00975A90">
              <w:rPr>
                <w:b/>
                <w:sz w:val="20"/>
                <w:szCs w:val="20"/>
              </w:rPr>
              <w:t>Публикација</w:t>
            </w:r>
            <w:proofErr w:type="spellEnd"/>
          </w:p>
        </w:tc>
        <w:tc>
          <w:tcPr>
            <w:tcW w:w="531" w:type="pct"/>
          </w:tcPr>
          <w:p w14:paraId="4B3499CF" w14:textId="77777777" w:rsidR="00FA083F" w:rsidRPr="00975A90" w:rsidRDefault="00FA083F" w:rsidP="00417E8C">
            <w:pPr>
              <w:pStyle w:val="TableParagraph"/>
              <w:spacing w:before="8" w:line="276" w:lineRule="auto"/>
              <w:jc w:val="center"/>
              <w:rPr>
                <w:b/>
                <w:sz w:val="20"/>
                <w:szCs w:val="20"/>
              </w:rPr>
            </w:pPr>
            <w:r w:rsidRPr="00975A90">
              <w:rPr>
                <w:b/>
                <w:sz w:val="20"/>
                <w:szCs w:val="20"/>
              </w:rPr>
              <w:t>ISI</w:t>
            </w:r>
          </w:p>
        </w:tc>
        <w:tc>
          <w:tcPr>
            <w:tcW w:w="489" w:type="pct"/>
            <w:gridSpan w:val="2"/>
          </w:tcPr>
          <w:p w14:paraId="3BFD78FC" w14:textId="77777777" w:rsidR="00FA083F" w:rsidRPr="00975A90" w:rsidRDefault="00FA083F" w:rsidP="00417E8C">
            <w:pPr>
              <w:pStyle w:val="TableParagraph"/>
              <w:spacing w:before="8" w:line="276" w:lineRule="auto"/>
              <w:jc w:val="center"/>
              <w:rPr>
                <w:b/>
                <w:sz w:val="20"/>
                <w:szCs w:val="20"/>
              </w:rPr>
            </w:pPr>
            <w:r w:rsidRPr="00975A90">
              <w:rPr>
                <w:b/>
                <w:sz w:val="20"/>
                <w:szCs w:val="20"/>
              </w:rPr>
              <w:t>M</w:t>
            </w:r>
          </w:p>
        </w:tc>
        <w:tc>
          <w:tcPr>
            <w:tcW w:w="501" w:type="pct"/>
          </w:tcPr>
          <w:p w14:paraId="06172CC6" w14:textId="77777777" w:rsidR="00FA083F" w:rsidRPr="00975A90" w:rsidRDefault="00FA083F" w:rsidP="00417E8C">
            <w:pPr>
              <w:pStyle w:val="TableParagraph"/>
              <w:spacing w:before="8" w:line="276" w:lineRule="auto"/>
              <w:jc w:val="center"/>
              <w:rPr>
                <w:b/>
                <w:sz w:val="20"/>
                <w:szCs w:val="20"/>
              </w:rPr>
            </w:pPr>
            <w:r w:rsidRPr="00975A90">
              <w:rPr>
                <w:b/>
                <w:sz w:val="20"/>
                <w:szCs w:val="20"/>
              </w:rPr>
              <w:t>IF</w:t>
            </w:r>
          </w:p>
        </w:tc>
      </w:tr>
      <w:tr w:rsidR="007E6FC3" w:rsidRPr="00A22864" w14:paraId="6A3B59AE" w14:textId="77777777" w:rsidTr="00682F94">
        <w:trPr>
          <w:trHeight w:val="227"/>
          <w:jc w:val="center"/>
        </w:trPr>
        <w:tc>
          <w:tcPr>
            <w:tcW w:w="269" w:type="pct"/>
            <w:vAlign w:val="center"/>
          </w:tcPr>
          <w:p w14:paraId="59BA7D63" w14:textId="64D34329" w:rsidR="007E6FC3" w:rsidRPr="00EE5C98" w:rsidRDefault="007E6FC3" w:rsidP="007E6FC3">
            <w:pPr>
              <w:spacing w:line="276" w:lineRule="auto"/>
              <w:ind w:left="-23"/>
              <w:jc w:val="center"/>
            </w:pPr>
            <w:r w:rsidRPr="00EE5C98">
              <w:t>1.</w:t>
            </w:r>
          </w:p>
        </w:tc>
        <w:tc>
          <w:tcPr>
            <w:tcW w:w="3210" w:type="pct"/>
            <w:gridSpan w:val="7"/>
          </w:tcPr>
          <w:p w14:paraId="62692F81" w14:textId="519A78AC" w:rsidR="007E6FC3" w:rsidRPr="00EE5C98" w:rsidRDefault="007E6FC3" w:rsidP="007E6FC3">
            <w:pPr>
              <w:pStyle w:val="Heading1"/>
              <w:shd w:val="clear" w:color="auto" w:fill="FFFFFF"/>
              <w:jc w:val="both"/>
              <w:rPr>
                <w:b w:val="0"/>
                <w:bCs w:val="0"/>
                <w:sz w:val="20"/>
                <w:szCs w:val="20"/>
              </w:rPr>
            </w:pPr>
            <w:r w:rsidRPr="00EE5C98">
              <w:rPr>
                <w:b w:val="0"/>
                <w:bCs w:val="0"/>
                <w:sz w:val="20"/>
                <w:szCs w:val="20"/>
              </w:rPr>
              <w:t xml:space="preserve">Srdanovic I, Stefanovic M, Milovancev A, Vulin A, Pantic T, Dabovic D, Tadic S, Ilic A, Stojsic-Milosavljevic A, Bjelobrk M, </w:t>
            </w:r>
            <w:r w:rsidRPr="00EE5C98">
              <w:rPr>
                <w:sz w:val="20"/>
                <w:szCs w:val="20"/>
              </w:rPr>
              <w:t>Miljkovic T,</w:t>
            </w:r>
            <w:r w:rsidRPr="00EE5C98">
              <w:rPr>
                <w:b w:val="0"/>
                <w:bCs w:val="0"/>
                <w:sz w:val="20"/>
                <w:szCs w:val="20"/>
              </w:rPr>
              <w:t xml:space="preserve"> Velicki L. </w:t>
            </w:r>
            <w:r w:rsidRPr="00EE5C98">
              <w:rPr>
                <w:b w:val="0"/>
                <w:bCs w:val="0"/>
                <w:sz w:val="20"/>
                <w:szCs w:val="20"/>
              </w:rPr>
              <w:fldChar w:fldCharType="begin"/>
            </w:r>
            <w:r w:rsidRPr="00EE5C98">
              <w:rPr>
                <w:b w:val="0"/>
                <w:bCs w:val="0"/>
                <w:sz w:val="20"/>
                <w:szCs w:val="20"/>
              </w:rPr>
              <w:instrText xml:space="preserve"> HYPERLINK "https://pubmed.ncbi.nlm.nih.gov/39063617/" </w:instrText>
            </w:r>
            <w:r w:rsidRPr="00EE5C98">
              <w:rPr>
                <w:b w:val="0"/>
                <w:bCs w:val="0"/>
                <w:sz w:val="20"/>
                <w:szCs w:val="20"/>
              </w:rPr>
              <w:fldChar w:fldCharType="separate"/>
            </w:r>
            <w:r w:rsidRPr="00EE5C98">
              <w:rPr>
                <w:rStyle w:val="Hyperlink"/>
                <w:b w:val="0"/>
                <w:bCs w:val="0"/>
                <w:sz w:val="20"/>
                <w:szCs w:val="20"/>
              </w:rPr>
              <w:t>Relevance of the TAS'/PASP Ratio as a Predictor of Outcomes in Patients with Heart Failure with a Reduced Ejection Fraction.</w:t>
            </w:r>
            <w:r w:rsidRPr="00EE5C98">
              <w:rPr>
                <w:b w:val="0"/>
                <w:bCs w:val="0"/>
                <w:sz w:val="20"/>
                <w:szCs w:val="20"/>
              </w:rPr>
              <w:fldChar w:fldCharType="end"/>
            </w:r>
            <w:r w:rsidRPr="00EE5C98">
              <w:rPr>
                <w:b w:val="0"/>
                <w:bCs w:val="0"/>
                <w:sz w:val="20"/>
                <w:szCs w:val="20"/>
              </w:rPr>
              <w:t xml:space="preserve"> Life (Basel). 2024 Jul 10;14(7):863.</w:t>
            </w:r>
          </w:p>
        </w:tc>
        <w:tc>
          <w:tcPr>
            <w:tcW w:w="531" w:type="pct"/>
            <w:vAlign w:val="center"/>
          </w:tcPr>
          <w:p w14:paraId="2E143ED8" w14:textId="77777777" w:rsidR="007E6FC3" w:rsidRPr="00EE5C98" w:rsidRDefault="007E6FC3" w:rsidP="007E6FC3">
            <w:pPr>
              <w:widowControl/>
              <w:autoSpaceDE/>
              <w:autoSpaceDN/>
              <w:adjustRightInd/>
              <w:jc w:val="center"/>
              <w:rPr>
                <w:rFonts w:eastAsia="Times New Roman"/>
                <w:lang w:val="en-US" w:eastAsia="en-US"/>
              </w:rPr>
            </w:pPr>
            <w:r w:rsidRPr="00EE5C98">
              <w:rPr>
                <w:rFonts w:eastAsia="Times New Roman"/>
                <w:lang w:val="en-US" w:eastAsia="en-US"/>
              </w:rPr>
              <w:t>25/90</w:t>
            </w:r>
          </w:p>
          <w:p w14:paraId="78506152" w14:textId="59BBAE92" w:rsidR="007E6FC3" w:rsidRPr="00EE5C98" w:rsidRDefault="007E6FC3" w:rsidP="007E6FC3">
            <w:pPr>
              <w:widowControl/>
              <w:autoSpaceDE/>
              <w:autoSpaceDN/>
              <w:adjustRightInd/>
              <w:jc w:val="center"/>
              <w:rPr>
                <w:rFonts w:eastAsia="Times New Roman"/>
                <w:lang w:val="en-US" w:eastAsia="en-US"/>
              </w:rPr>
            </w:pPr>
            <w:r w:rsidRPr="00EE5C98">
              <w:rPr>
                <w:rFonts w:eastAsia="Times New Roman"/>
                <w:lang w:val="en-US" w:eastAsia="en-US"/>
              </w:rPr>
              <w:t>(2023)</w:t>
            </w:r>
          </w:p>
        </w:tc>
        <w:tc>
          <w:tcPr>
            <w:tcW w:w="489" w:type="pct"/>
            <w:gridSpan w:val="2"/>
            <w:vAlign w:val="center"/>
          </w:tcPr>
          <w:p w14:paraId="10250988" w14:textId="77777777" w:rsidR="007E6FC3" w:rsidRPr="00EE5C98" w:rsidRDefault="007E6FC3" w:rsidP="007E6FC3">
            <w:pPr>
              <w:jc w:val="center"/>
            </w:pPr>
            <w:r w:rsidRPr="00EE5C98">
              <w:t>21</w:t>
            </w:r>
          </w:p>
          <w:p w14:paraId="3EB2717D" w14:textId="77EB6EDC" w:rsidR="007E6FC3" w:rsidRPr="00EE5C98" w:rsidRDefault="007E6FC3" w:rsidP="007E6FC3">
            <w:pPr>
              <w:jc w:val="center"/>
            </w:pPr>
            <w:r w:rsidRPr="00EE5C98">
              <w:t>(2023)</w:t>
            </w:r>
          </w:p>
        </w:tc>
        <w:tc>
          <w:tcPr>
            <w:tcW w:w="501" w:type="pct"/>
            <w:vAlign w:val="center"/>
          </w:tcPr>
          <w:p w14:paraId="1E08E091" w14:textId="77777777" w:rsidR="007E6FC3" w:rsidRPr="00EE5C98" w:rsidRDefault="007E6FC3" w:rsidP="007E6FC3">
            <w:pPr>
              <w:widowControl/>
              <w:autoSpaceDE/>
              <w:autoSpaceDN/>
              <w:adjustRightInd/>
              <w:jc w:val="center"/>
              <w:rPr>
                <w:rFonts w:eastAsia="Times New Roman"/>
                <w:lang w:val="en-US" w:eastAsia="en-US"/>
              </w:rPr>
            </w:pPr>
            <w:r w:rsidRPr="00EE5C98">
              <w:rPr>
                <w:rFonts w:eastAsia="Times New Roman"/>
                <w:lang w:val="en-US" w:eastAsia="en-US"/>
              </w:rPr>
              <w:t>3.2</w:t>
            </w:r>
          </w:p>
          <w:p w14:paraId="5EB8950F" w14:textId="559BCADB" w:rsidR="007E6FC3" w:rsidRPr="00EE5C98" w:rsidRDefault="007E6FC3" w:rsidP="007E6FC3">
            <w:pPr>
              <w:widowControl/>
              <w:autoSpaceDE/>
              <w:autoSpaceDN/>
              <w:adjustRightInd/>
              <w:jc w:val="center"/>
              <w:rPr>
                <w:rFonts w:eastAsia="Times New Roman"/>
                <w:lang w:val="en-US" w:eastAsia="en-US"/>
              </w:rPr>
            </w:pPr>
            <w:r w:rsidRPr="00EE5C98">
              <w:rPr>
                <w:rFonts w:eastAsia="Times New Roman"/>
                <w:lang w:val="en-US" w:eastAsia="en-US"/>
              </w:rPr>
              <w:t>(2023)</w:t>
            </w:r>
          </w:p>
        </w:tc>
      </w:tr>
      <w:tr w:rsidR="007E6FC3" w:rsidRPr="00A22864" w14:paraId="44354D63" w14:textId="77777777" w:rsidTr="00682F94">
        <w:trPr>
          <w:trHeight w:val="227"/>
          <w:jc w:val="center"/>
        </w:trPr>
        <w:tc>
          <w:tcPr>
            <w:tcW w:w="269" w:type="pct"/>
            <w:vAlign w:val="center"/>
          </w:tcPr>
          <w:p w14:paraId="489CE037" w14:textId="48E73F46" w:rsidR="007E6FC3" w:rsidRPr="00EE5C98" w:rsidRDefault="007E6FC3" w:rsidP="007E6FC3">
            <w:pPr>
              <w:spacing w:line="276" w:lineRule="auto"/>
              <w:ind w:left="-23"/>
              <w:jc w:val="center"/>
            </w:pPr>
            <w:r w:rsidRPr="00EE5C98">
              <w:t>2.</w:t>
            </w:r>
          </w:p>
        </w:tc>
        <w:tc>
          <w:tcPr>
            <w:tcW w:w="3210" w:type="pct"/>
            <w:gridSpan w:val="7"/>
          </w:tcPr>
          <w:p w14:paraId="45526E87" w14:textId="7F317528" w:rsidR="007E6FC3" w:rsidRPr="00EE5C98" w:rsidRDefault="007E6FC3" w:rsidP="007E6FC3">
            <w:pPr>
              <w:pStyle w:val="Heading1"/>
              <w:shd w:val="clear" w:color="auto" w:fill="FFFFFF"/>
              <w:jc w:val="both"/>
              <w:rPr>
                <w:b w:val="0"/>
                <w:bCs w:val="0"/>
                <w:sz w:val="20"/>
                <w:szCs w:val="20"/>
              </w:rPr>
            </w:pPr>
            <w:r w:rsidRPr="00EE5C98">
              <w:rPr>
                <w:b w:val="0"/>
                <w:bCs w:val="0"/>
                <w:sz w:val="20"/>
                <w:szCs w:val="20"/>
              </w:rPr>
              <w:t xml:space="preserve">Maletin S, Petrovic M, Stojsic-Milosavljevic A, </w:t>
            </w:r>
            <w:r w:rsidRPr="00EE5C98">
              <w:rPr>
                <w:sz w:val="20"/>
                <w:szCs w:val="20"/>
              </w:rPr>
              <w:t>Miljkovic T</w:t>
            </w:r>
            <w:r w:rsidRPr="00EE5C98">
              <w:rPr>
                <w:b w:val="0"/>
                <w:bCs w:val="0"/>
                <w:sz w:val="20"/>
                <w:szCs w:val="20"/>
              </w:rPr>
              <w:t xml:space="preserve">, Milovancev A, Petrovic I, et al. </w:t>
            </w:r>
            <w:r w:rsidRPr="00EE5C98">
              <w:rPr>
                <w:b w:val="0"/>
                <w:bCs w:val="0"/>
                <w:sz w:val="20"/>
                <w:szCs w:val="20"/>
              </w:rPr>
              <w:fldChar w:fldCharType="begin"/>
            </w:r>
            <w:r w:rsidRPr="00EE5C98">
              <w:rPr>
                <w:b w:val="0"/>
                <w:bCs w:val="0"/>
                <w:sz w:val="20"/>
                <w:szCs w:val="20"/>
              </w:rPr>
              <w:instrText xml:space="preserve"> HYPERLINK "C://Users/radmila.matic/Desktop/diagnostics-14-01042.pdf" </w:instrText>
            </w:r>
            <w:r w:rsidRPr="00EE5C98">
              <w:rPr>
                <w:b w:val="0"/>
                <w:bCs w:val="0"/>
                <w:sz w:val="20"/>
                <w:szCs w:val="20"/>
              </w:rPr>
              <w:fldChar w:fldCharType="separate"/>
            </w:r>
            <w:r w:rsidRPr="00EE5C98">
              <w:rPr>
                <w:rStyle w:val="Hyperlink"/>
                <w:b w:val="0"/>
                <w:bCs w:val="0"/>
                <w:sz w:val="20"/>
                <w:szCs w:val="20"/>
              </w:rPr>
              <w:t>The Role of QRS Complex and ST-Segment in Major Adverse Cardiovascular Events Prediction in Patients with ST Elevated Myocardial Infarction: A 6-Year Follow-Up Study</w:t>
            </w:r>
            <w:r w:rsidRPr="00EE5C98">
              <w:rPr>
                <w:b w:val="0"/>
                <w:bCs w:val="0"/>
                <w:sz w:val="20"/>
                <w:szCs w:val="20"/>
              </w:rPr>
              <w:fldChar w:fldCharType="end"/>
            </w:r>
            <w:r w:rsidRPr="00EE5C98">
              <w:rPr>
                <w:b w:val="0"/>
                <w:bCs w:val="0"/>
                <w:sz w:val="20"/>
                <w:szCs w:val="20"/>
              </w:rPr>
              <w:t>. Diagnostics 2024;14(10):1042.</w:t>
            </w:r>
          </w:p>
        </w:tc>
        <w:tc>
          <w:tcPr>
            <w:tcW w:w="531" w:type="pct"/>
            <w:vAlign w:val="center"/>
          </w:tcPr>
          <w:p w14:paraId="27687DF0" w14:textId="77777777" w:rsidR="007E6FC3" w:rsidRPr="00EE5C98" w:rsidRDefault="007E6FC3" w:rsidP="007E6FC3">
            <w:pPr>
              <w:widowControl/>
              <w:autoSpaceDE/>
              <w:autoSpaceDN/>
              <w:adjustRightInd/>
              <w:jc w:val="center"/>
              <w:rPr>
                <w:rFonts w:eastAsia="Times New Roman"/>
                <w:lang w:val="en-US" w:eastAsia="en-US"/>
              </w:rPr>
            </w:pPr>
            <w:r w:rsidRPr="00EE5C98">
              <w:rPr>
                <w:rFonts w:eastAsia="Times New Roman"/>
                <w:lang w:val="en-US" w:eastAsia="en-US"/>
              </w:rPr>
              <w:t>58/167</w:t>
            </w:r>
          </w:p>
          <w:p w14:paraId="06671500" w14:textId="1339ED2B" w:rsidR="007E6FC3" w:rsidRPr="00EE5C98" w:rsidRDefault="007E6FC3" w:rsidP="007E6FC3">
            <w:pPr>
              <w:widowControl/>
              <w:autoSpaceDE/>
              <w:autoSpaceDN/>
              <w:adjustRightInd/>
              <w:rPr>
                <w:rFonts w:eastAsia="Times New Roman"/>
                <w:lang w:val="en-US" w:eastAsia="en-US"/>
              </w:rPr>
            </w:pPr>
            <w:r w:rsidRPr="00EE5C98">
              <w:rPr>
                <w:rFonts w:eastAsia="Times New Roman"/>
                <w:lang w:val="en-US" w:eastAsia="en-US"/>
              </w:rPr>
              <w:t xml:space="preserve">   (2023)</w:t>
            </w:r>
          </w:p>
        </w:tc>
        <w:tc>
          <w:tcPr>
            <w:tcW w:w="489" w:type="pct"/>
            <w:gridSpan w:val="2"/>
            <w:vAlign w:val="center"/>
          </w:tcPr>
          <w:p w14:paraId="0FDB95FB" w14:textId="77777777" w:rsidR="007E6FC3" w:rsidRPr="00EE5C98" w:rsidRDefault="007E6FC3" w:rsidP="007E6FC3">
            <w:pPr>
              <w:jc w:val="center"/>
            </w:pPr>
            <w:r w:rsidRPr="00EE5C98">
              <w:t>22</w:t>
            </w:r>
          </w:p>
          <w:p w14:paraId="3B9D6051" w14:textId="76157F71" w:rsidR="007E6FC3" w:rsidRPr="00EE5C98" w:rsidRDefault="007E6FC3" w:rsidP="007E6FC3">
            <w:pPr>
              <w:jc w:val="center"/>
            </w:pPr>
            <w:r w:rsidRPr="00EE5C98">
              <w:t>(2023)</w:t>
            </w:r>
          </w:p>
        </w:tc>
        <w:tc>
          <w:tcPr>
            <w:tcW w:w="501" w:type="pct"/>
            <w:vAlign w:val="center"/>
          </w:tcPr>
          <w:p w14:paraId="31C71A46" w14:textId="77777777" w:rsidR="007E6FC3" w:rsidRPr="00EE5C98" w:rsidRDefault="007E6FC3" w:rsidP="007E6FC3">
            <w:pPr>
              <w:widowControl/>
              <w:autoSpaceDE/>
              <w:autoSpaceDN/>
              <w:adjustRightInd/>
              <w:jc w:val="center"/>
              <w:rPr>
                <w:rFonts w:eastAsia="Times New Roman"/>
                <w:lang w:val="en-US" w:eastAsia="en-US"/>
              </w:rPr>
            </w:pPr>
            <w:r w:rsidRPr="00EE5C98">
              <w:rPr>
                <w:rFonts w:eastAsia="Times New Roman"/>
                <w:lang w:val="en-US" w:eastAsia="en-US"/>
              </w:rPr>
              <w:t>3.0</w:t>
            </w:r>
          </w:p>
          <w:p w14:paraId="1F84C990" w14:textId="3E47AB99" w:rsidR="007E6FC3" w:rsidRPr="00EE5C98" w:rsidRDefault="007E6FC3" w:rsidP="007E6FC3">
            <w:pPr>
              <w:widowControl/>
              <w:autoSpaceDE/>
              <w:autoSpaceDN/>
              <w:adjustRightInd/>
              <w:jc w:val="center"/>
              <w:rPr>
                <w:rFonts w:eastAsia="Times New Roman"/>
                <w:lang w:val="en-US" w:eastAsia="en-US"/>
              </w:rPr>
            </w:pPr>
            <w:r w:rsidRPr="00EE5C98">
              <w:rPr>
                <w:rFonts w:eastAsia="Times New Roman"/>
                <w:lang w:val="en-US" w:eastAsia="en-US"/>
              </w:rPr>
              <w:t>(2023)</w:t>
            </w:r>
          </w:p>
        </w:tc>
      </w:tr>
      <w:tr w:rsidR="007E6FC3" w:rsidRPr="00A22864" w14:paraId="221A9A81" w14:textId="77777777" w:rsidTr="00682F94">
        <w:trPr>
          <w:trHeight w:val="227"/>
          <w:jc w:val="center"/>
        </w:trPr>
        <w:tc>
          <w:tcPr>
            <w:tcW w:w="269" w:type="pct"/>
            <w:vAlign w:val="center"/>
          </w:tcPr>
          <w:p w14:paraId="213F260B" w14:textId="626C90C7" w:rsidR="007E6FC3" w:rsidRPr="00EE5C98" w:rsidRDefault="007E6FC3" w:rsidP="007E6FC3">
            <w:pPr>
              <w:spacing w:line="276" w:lineRule="auto"/>
              <w:ind w:left="-23"/>
              <w:jc w:val="center"/>
            </w:pPr>
            <w:r w:rsidRPr="00EE5C98">
              <w:t>3.</w:t>
            </w:r>
          </w:p>
        </w:tc>
        <w:tc>
          <w:tcPr>
            <w:tcW w:w="3210" w:type="pct"/>
            <w:gridSpan w:val="7"/>
          </w:tcPr>
          <w:p w14:paraId="0EA342AD" w14:textId="3E6E977E" w:rsidR="007E6FC3" w:rsidRPr="00EE5C98" w:rsidRDefault="007E6FC3" w:rsidP="007E6FC3">
            <w:pPr>
              <w:pStyle w:val="Heading1"/>
              <w:shd w:val="clear" w:color="auto" w:fill="FFFFFF"/>
              <w:jc w:val="both"/>
              <w:rPr>
                <w:b w:val="0"/>
                <w:bCs w:val="0"/>
                <w:sz w:val="20"/>
                <w:szCs w:val="20"/>
              </w:rPr>
            </w:pPr>
            <w:r w:rsidRPr="00EE5C98">
              <w:rPr>
                <w:b w:val="0"/>
                <w:bCs w:val="0"/>
                <w:sz w:val="20"/>
                <w:szCs w:val="20"/>
              </w:rPr>
              <w:t xml:space="preserve">Petrović M, </w:t>
            </w:r>
            <w:r w:rsidRPr="00EE5C98">
              <w:rPr>
                <w:sz w:val="20"/>
                <w:szCs w:val="20"/>
              </w:rPr>
              <w:t>Miljković T</w:t>
            </w:r>
            <w:r w:rsidRPr="00EE5C98">
              <w:rPr>
                <w:b w:val="0"/>
                <w:bCs w:val="0"/>
                <w:sz w:val="20"/>
                <w:szCs w:val="20"/>
              </w:rPr>
              <w:t xml:space="preserve">, Ilić A, Kovačević M, Čanković M, et al...Milovančev A. </w:t>
            </w:r>
            <w:r w:rsidRPr="00EE5C98">
              <w:rPr>
                <w:sz w:val="20"/>
                <w:szCs w:val="20"/>
              </w:rPr>
              <w:fldChar w:fldCharType="begin"/>
            </w:r>
            <w:r w:rsidRPr="00EE5C98">
              <w:rPr>
                <w:b w:val="0"/>
                <w:bCs w:val="0"/>
                <w:sz w:val="20"/>
                <w:szCs w:val="20"/>
              </w:rPr>
              <w:instrText xml:space="preserve"> HYPERLINK "https://pubmed.ncbi.nlm.nih.gov/38298759/" </w:instrText>
            </w:r>
            <w:r w:rsidRPr="00EE5C98">
              <w:rPr>
                <w:sz w:val="20"/>
                <w:szCs w:val="20"/>
              </w:rPr>
              <w:fldChar w:fldCharType="separate"/>
            </w:r>
            <w:r w:rsidRPr="00EE5C98">
              <w:rPr>
                <w:rStyle w:val="Hyperlink"/>
                <w:b w:val="0"/>
                <w:bCs w:val="0"/>
                <w:sz w:val="20"/>
                <w:szCs w:val="20"/>
              </w:rPr>
              <w:t>Management and outcomes of spontaneous coronary artery dissection: a systematic review of the literature</w:t>
            </w:r>
            <w:r w:rsidRPr="00EE5C98">
              <w:rPr>
                <w:rStyle w:val="Hyperlink"/>
                <w:b w:val="0"/>
                <w:bCs w:val="0"/>
                <w:sz w:val="20"/>
                <w:szCs w:val="20"/>
              </w:rPr>
              <w:fldChar w:fldCharType="end"/>
            </w:r>
            <w:r w:rsidRPr="00EE5C98">
              <w:rPr>
                <w:b w:val="0"/>
                <w:bCs w:val="0"/>
                <w:sz w:val="20"/>
                <w:szCs w:val="20"/>
              </w:rPr>
              <w:t>. Front Cardiovasc Med. 2024 Jan 16;11:1276521</w:t>
            </w:r>
          </w:p>
        </w:tc>
        <w:tc>
          <w:tcPr>
            <w:tcW w:w="531" w:type="pct"/>
            <w:vAlign w:val="center"/>
          </w:tcPr>
          <w:p w14:paraId="33B685D4" w14:textId="77777777" w:rsidR="007E6FC3" w:rsidRPr="00EE5C98" w:rsidRDefault="007E6FC3" w:rsidP="007E6FC3">
            <w:pPr>
              <w:pStyle w:val="TableParagraph"/>
              <w:spacing w:before="8" w:line="276" w:lineRule="auto"/>
              <w:jc w:val="center"/>
              <w:rPr>
                <w:sz w:val="20"/>
                <w:szCs w:val="20"/>
              </w:rPr>
            </w:pPr>
            <w:r w:rsidRPr="00EE5C98">
              <w:rPr>
                <w:sz w:val="20"/>
                <w:szCs w:val="20"/>
              </w:rPr>
              <w:t>61/143</w:t>
            </w:r>
          </w:p>
          <w:p w14:paraId="28418FAF" w14:textId="7C38F3AC" w:rsidR="007E6FC3" w:rsidRPr="00EE5C98" w:rsidRDefault="007E6FC3" w:rsidP="007E6FC3">
            <w:pPr>
              <w:widowControl/>
              <w:autoSpaceDE/>
              <w:autoSpaceDN/>
              <w:adjustRightInd/>
              <w:jc w:val="center"/>
              <w:rPr>
                <w:rFonts w:eastAsia="Times New Roman"/>
                <w:lang w:val="en-US" w:eastAsia="en-US"/>
              </w:rPr>
            </w:pPr>
            <w:r w:rsidRPr="00EE5C98">
              <w:t>(2022)</w:t>
            </w:r>
          </w:p>
        </w:tc>
        <w:tc>
          <w:tcPr>
            <w:tcW w:w="489" w:type="pct"/>
            <w:gridSpan w:val="2"/>
            <w:vAlign w:val="center"/>
          </w:tcPr>
          <w:p w14:paraId="2FE90FA3" w14:textId="77777777" w:rsidR="007E6FC3" w:rsidRPr="00EE5C98" w:rsidRDefault="007E6FC3" w:rsidP="007E6FC3">
            <w:pPr>
              <w:pStyle w:val="TableParagraph"/>
              <w:spacing w:before="8" w:line="276" w:lineRule="auto"/>
              <w:jc w:val="center"/>
              <w:rPr>
                <w:sz w:val="20"/>
                <w:szCs w:val="20"/>
              </w:rPr>
            </w:pPr>
            <w:r w:rsidRPr="00EE5C98">
              <w:rPr>
                <w:sz w:val="20"/>
                <w:szCs w:val="20"/>
              </w:rPr>
              <w:t>22</w:t>
            </w:r>
          </w:p>
          <w:p w14:paraId="7632062F" w14:textId="1B09A753" w:rsidR="007E6FC3" w:rsidRPr="00EE5C98" w:rsidRDefault="007E6FC3" w:rsidP="007E6FC3">
            <w:pPr>
              <w:jc w:val="center"/>
            </w:pPr>
            <w:r w:rsidRPr="00EE5C98">
              <w:t>(2022)</w:t>
            </w:r>
          </w:p>
        </w:tc>
        <w:tc>
          <w:tcPr>
            <w:tcW w:w="501" w:type="pct"/>
            <w:vAlign w:val="center"/>
          </w:tcPr>
          <w:p w14:paraId="5C64DD16" w14:textId="77777777" w:rsidR="007E6FC3" w:rsidRPr="00EE5C98" w:rsidRDefault="007E6FC3" w:rsidP="007E6FC3">
            <w:pPr>
              <w:pStyle w:val="TableParagraph"/>
              <w:spacing w:before="8" w:line="276" w:lineRule="auto"/>
              <w:jc w:val="center"/>
              <w:rPr>
                <w:sz w:val="20"/>
                <w:szCs w:val="20"/>
              </w:rPr>
            </w:pPr>
            <w:r w:rsidRPr="00EE5C98">
              <w:rPr>
                <w:sz w:val="20"/>
                <w:szCs w:val="20"/>
              </w:rPr>
              <w:t>3.5</w:t>
            </w:r>
          </w:p>
          <w:p w14:paraId="78244291" w14:textId="24828F34" w:rsidR="007E6FC3" w:rsidRPr="00EE5C98" w:rsidRDefault="007E6FC3" w:rsidP="007E6FC3">
            <w:pPr>
              <w:widowControl/>
              <w:autoSpaceDE/>
              <w:autoSpaceDN/>
              <w:adjustRightInd/>
              <w:jc w:val="center"/>
              <w:rPr>
                <w:rFonts w:eastAsia="Times New Roman"/>
                <w:lang w:val="en-US" w:eastAsia="en-US"/>
              </w:rPr>
            </w:pPr>
            <w:r w:rsidRPr="00EE5C98">
              <w:t>(2023)</w:t>
            </w:r>
          </w:p>
        </w:tc>
      </w:tr>
      <w:tr w:rsidR="007E6FC3" w:rsidRPr="00A22864" w14:paraId="23ACEC2A" w14:textId="77777777" w:rsidTr="00682F94">
        <w:trPr>
          <w:trHeight w:val="227"/>
          <w:jc w:val="center"/>
        </w:trPr>
        <w:tc>
          <w:tcPr>
            <w:tcW w:w="269" w:type="pct"/>
            <w:vAlign w:val="center"/>
          </w:tcPr>
          <w:p w14:paraId="7AB2FD2D" w14:textId="30C66690" w:rsidR="007E6FC3" w:rsidRPr="00EE5C98" w:rsidRDefault="007E6FC3" w:rsidP="007E6FC3">
            <w:pPr>
              <w:spacing w:line="276" w:lineRule="auto"/>
              <w:ind w:left="-23"/>
              <w:jc w:val="center"/>
            </w:pPr>
            <w:r w:rsidRPr="00EE5C98">
              <w:t>4.</w:t>
            </w:r>
          </w:p>
        </w:tc>
        <w:tc>
          <w:tcPr>
            <w:tcW w:w="3210" w:type="pct"/>
            <w:gridSpan w:val="7"/>
          </w:tcPr>
          <w:p w14:paraId="3FA79737" w14:textId="77777777" w:rsidR="007E6FC3" w:rsidRPr="00EE5C98" w:rsidRDefault="007E6FC3" w:rsidP="007E6FC3">
            <w:pPr>
              <w:pStyle w:val="Heading1"/>
              <w:shd w:val="clear" w:color="auto" w:fill="FFFFFF"/>
              <w:jc w:val="both"/>
              <w:rPr>
                <w:b w:val="0"/>
                <w:sz w:val="20"/>
                <w:szCs w:val="20"/>
              </w:rPr>
            </w:pPr>
            <w:r w:rsidRPr="00EE5C98">
              <w:rPr>
                <w:b w:val="0"/>
                <w:sz w:val="20"/>
                <w:szCs w:val="20"/>
              </w:rPr>
              <w:t xml:space="preserve">Srdanović I, Stefanović M, </w:t>
            </w:r>
            <w:r w:rsidRPr="00EE5C98">
              <w:rPr>
                <w:sz w:val="20"/>
                <w:szCs w:val="20"/>
              </w:rPr>
              <w:t>Miljković T</w:t>
            </w:r>
            <w:r w:rsidRPr="00EE5C98">
              <w:rPr>
                <w:b w:val="0"/>
                <w:sz w:val="20"/>
                <w:szCs w:val="20"/>
              </w:rPr>
              <w:t xml:space="preserve">, Bjelić S, Trajković M, et al…Lazar V. </w:t>
            </w:r>
            <w:r w:rsidRPr="00EE5C98">
              <w:rPr>
                <w:sz w:val="20"/>
                <w:szCs w:val="20"/>
              </w:rPr>
              <w:fldChar w:fldCharType="begin"/>
            </w:r>
            <w:r w:rsidRPr="00EE5C98">
              <w:rPr>
                <w:sz w:val="20"/>
                <w:szCs w:val="20"/>
              </w:rPr>
              <w:instrText xml:space="preserve"> HYPERLINK "https://www.mdpi.com/1648-9144/59/7/1213" </w:instrText>
            </w:r>
            <w:r w:rsidRPr="00EE5C98">
              <w:rPr>
                <w:sz w:val="20"/>
                <w:szCs w:val="20"/>
              </w:rPr>
              <w:fldChar w:fldCharType="separate"/>
            </w:r>
            <w:r w:rsidRPr="00EE5C98">
              <w:rPr>
                <w:rStyle w:val="Hyperlink"/>
                <w:b w:val="0"/>
                <w:sz w:val="20"/>
                <w:szCs w:val="20"/>
              </w:rPr>
              <w:t>Pulmonary Valve Endocarditis during and beyond Euro ENDO Registry: A Single Center Case Series</w:t>
            </w:r>
            <w:r w:rsidRPr="00EE5C98">
              <w:rPr>
                <w:rStyle w:val="Hyperlink"/>
                <w:b w:val="0"/>
                <w:sz w:val="20"/>
                <w:szCs w:val="20"/>
              </w:rPr>
              <w:fldChar w:fldCharType="end"/>
            </w:r>
            <w:r w:rsidRPr="00EE5C98">
              <w:rPr>
                <w:b w:val="0"/>
                <w:sz w:val="20"/>
                <w:szCs w:val="20"/>
              </w:rPr>
              <w:t>. 2023;59(7):1213.</w:t>
            </w:r>
          </w:p>
        </w:tc>
        <w:tc>
          <w:tcPr>
            <w:tcW w:w="531"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742"/>
            </w:tblGrid>
            <w:tr w:rsidR="007E6FC3" w:rsidRPr="00EE5C98" w14:paraId="5B12BDA5" w14:textId="77777777" w:rsidTr="001679DD">
              <w:trPr>
                <w:tblCellSpacing w:w="15" w:type="dxa"/>
              </w:trPr>
              <w:tc>
                <w:tcPr>
                  <w:tcW w:w="36" w:type="dxa"/>
                  <w:vAlign w:val="center"/>
                  <w:hideMark/>
                </w:tcPr>
                <w:p w14:paraId="1B60FA2A" w14:textId="77777777" w:rsidR="007E6FC3" w:rsidRPr="00EE5C98" w:rsidRDefault="007E6FC3" w:rsidP="007E6FC3">
                  <w:pPr>
                    <w:widowControl/>
                    <w:autoSpaceDE/>
                    <w:autoSpaceDN/>
                    <w:adjustRightInd/>
                    <w:rPr>
                      <w:rFonts w:eastAsia="Times New Roman"/>
                      <w:lang w:val="en-US" w:eastAsia="en-US"/>
                    </w:rPr>
                  </w:pPr>
                </w:p>
              </w:tc>
              <w:tc>
                <w:tcPr>
                  <w:tcW w:w="697" w:type="dxa"/>
                  <w:vAlign w:val="center"/>
                  <w:hideMark/>
                </w:tcPr>
                <w:p w14:paraId="63DAC70A" w14:textId="344B4A6D" w:rsidR="007E6FC3" w:rsidRPr="00EE5C98" w:rsidRDefault="007E6FC3" w:rsidP="007E6FC3">
                  <w:pPr>
                    <w:widowControl/>
                    <w:autoSpaceDE/>
                    <w:autoSpaceDN/>
                    <w:adjustRightInd/>
                    <w:rPr>
                      <w:rFonts w:eastAsia="Times New Roman"/>
                      <w:lang w:val="en-US" w:eastAsia="en-US"/>
                    </w:rPr>
                  </w:pPr>
                  <w:r w:rsidRPr="00EE5C98">
                    <w:rPr>
                      <w:rFonts w:eastAsia="Times New Roman"/>
                      <w:lang w:val="en-US" w:eastAsia="en-US"/>
                    </w:rPr>
                    <w:t>79/167</w:t>
                  </w:r>
                </w:p>
              </w:tc>
            </w:tr>
          </w:tbl>
          <w:p w14:paraId="79025C2C" w14:textId="77777777" w:rsidR="007E6FC3" w:rsidRPr="00EE5C98" w:rsidRDefault="007E6FC3" w:rsidP="007E6FC3">
            <w:pPr>
              <w:widowControl/>
              <w:autoSpaceDE/>
              <w:autoSpaceDN/>
              <w:adjustRightInd/>
              <w:jc w:val="center"/>
              <w:rPr>
                <w:rFonts w:eastAsia="Times New Roman"/>
                <w:lang w:val="en-US" w:eastAsia="en-US"/>
              </w:rPr>
            </w:pPr>
          </w:p>
        </w:tc>
        <w:tc>
          <w:tcPr>
            <w:tcW w:w="489" w:type="pct"/>
            <w:gridSpan w:val="2"/>
            <w:vAlign w:val="center"/>
          </w:tcPr>
          <w:p w14:paraId="3DED3E2B" w14:textId="410B918E" w:rsidR="007E6FC3" w:rsidRPr="00EE5C98" w:rsidRDefault="007E6FC3" w:rsidP="007E6FC3">
            <w:pPr>
              <w:jc w:val="center"/>
            </w:pPr>
            <w:r w:rsidRPr="00EE5C98">
              <w:t>22</w:t>
            </w:r>
          </w:p>
        </w:tc>
        <w:tc>
          <w:tcPr>
            <w:tcW w:w="501" w:type="pct"/>
            <w:vAlign w:val="center"/>
          </w:tcPr>
          <w:p w14:paraId="56234F7A" w14:textId="6EB1F8D3" w:rsidR="007E6FC3" w:rsidRPr="00EE5C98" w:rsidRDefault="007E6FC3" w:rsidP="007E6FC3">
            <w:pPr>
              <w:widowControl/>
              <w:autoSpaceDE/>
              <w:autoSpaceDN/>
              <w:adjustRightInd/>
              <w:jc w:val="center"/>
              <w:rPr>
                <w:rFonts w:eastAsia="Times New Roman"/>
                <w:lang w:val="en-US" w:eastAsia="en-US"/>
              </w:rPr>
            </w:pPr>
            <w:r w:rsidRPr="00EE5C98">
              <w:rPr>
                <w:rFonts w:eastAsia="Times New Roman"/>
                <w:lang w:val="en-US" w:eastAsia="en-US"/>
              </w:rPr>
              <w:t>2.4</w:t>
            </w:r>
          </w:p>
        </w:tc>
      </w:tr>
      <w:tr w:rsidR="007E6FC3" w:rsidRPr="00A22864" w14:paraId="612BF7A5" w14:textId="77777777" w:rsidTr="00BF494D">
        <w:trPr>
          <w:trHeight w:val="227"/>
          <w:jc w:val="center"/>
        </w:trPr>
        <w:tc>
          <w:tcPr>
            <w:tcW w:w="269" w:type="pct"/>
            <w:vAlign w:val="center"/>
          </w:tcPr>
          <w:p w14:paraId="3BECCFDD" w14:textId="6F7E928C" w:rsidR="007E6FC3" w:rsidRPr="00EE5C98" w:rsidRDefault="007E6FC3" w:rsidP="007E6FC3">
            <w:pPr>
              <w:spacing w:line="276" w:lineRule="auto"/>
              <w:ind w:left="-23"/>
              <w:jc w:val="center"/>
            </w:pPr>
            <w:r w:rsidRPr="00EE5C98">
              <w:lastRenderedPageBreak/>
              <w:t>5.</w:t>
            </w:r>
          </w:p>
        </w:tc>
        <w:tc>
          <w:tcPr>
            <w:tcW w:w="3210" w:type="pct"/>
            <w:gridSpan w:val="7"/>
          </w:tcPr>
          <w:p w14:paraId="06EF2B81" w14:textId="7A2008CB" w:rsidR="007E6FC3" w:rsidRPr="00EE5C98" w:rsidRDefault="007E6FC3" w:rsidP="007E6FC3">
            <w:pPr>
              <w:pStyle w:val="Default"/>
              <w:jc w:val="both"/>
              <w:rPr>
                <w:rFonts w:eastAsiaTheme="minorEastAsia"/>
                <w:b/>
                <w:bCs/>
                <w:sz w:val="20"/>
                <w:szCs w:val="20"/>
              </w:rPr>
            </w:pPr>
            <w:r w:rsidRPr="00EE5C98">
              <w:rPr>
                <w:rFonts w:eastAsiaTheme="minorEastAsia"/>
                <w:bCs/>
                <w:sz w:val="20"/>
                <w:szCs w:val="20"/>
              </w:rPr>
              <w:t xml:space="preserve">Cankovic M, Todic VD, Petrovic M, Ivanovic V, Kovacevic M, Milovancev A,   </w:t>
            </w:r>
            <w:proofErr w:type="spellStart"/>
            <w:r w:rsidRPr="00EE5C98">
              <w:rPr>
                <w:rFonts w:eastAsiaTheme="minorEastAsia"/>
                <w:bCs/>
                <w:sz w:val="20"/>
                <w:szCs w:val="20"/>
              </w:rPr>
              <w:t>Bjelobrk</w:t>
            </w:r>
            <w:proofErr w:type="spellEnd"/>
            <w:r w:rsidRPr="00EE5C98">
              <w:rPr>
                <w:rFonts w:eastAsiaTheme="minorEastAsia"/>
                <w:bCs/>
                <w:sz w:val="20"/>
                <w:szCs w:val="20"/>
              </w:rPr>
              <w:t xml:space="preserve"> M, </w:t>
            </w:r>
            <w:r w:rsidRPr="00EE5C98">
              <w:rPr>
                <w:rFonts w:eastAsiaTheme="minorEastAsia"/>
                <w:b/>
                <w:bCs/>
                <w:sz w:val="20"/>
                <w:szCs w:val="20"/>
              </w:rPr>
              <w:t>Miljkovic T</w:t>
            </w:r>
            <w:r w:rsidRPr="00EE5C98">
              <w:rPr>
                <w:rFonts w:eastAsiaTheme="minorEastAsia"/>
                <w:bCs/>
                <w:sz w:val="20"/>
                <w:szCs w:val="20"/>
              </w:rPr>
              <w:t>, Todic M</w:t>
            </w:r>
            <w:r w:rsidRPr="00EE5C98">
              <w:rPr>
                <w:rFonts w:eastAsiaTheme="minorEastAsia"/>
                <w:b/>
                <w:bCs/>
                <w:sz w:val="20"/>
                <w:szCs w:val="20"/>
              </w:rPr>
              <w:t xml:space="preserve">. </w:t>
            </w:r>
            <w:hyperlink r:id="rId6" w:history="1">
              <w:r w:rsidRPr="00EE5C98">
                <w:rPr>
                  <w:rStyle w:val="Hyperlink"/>
                  <w:sz w:val="20"/>
                  <w:szCs w:val="20"/>
                </w:rPr>
                <w:t>Accordion-Like Stent Deformation Caused by Entrapped Guidewire: a Case Report</w:t>
              </w:r>
            </w:hyperlink>
            <w:r w:rsidRPr="00EE5C98">
              <w:rPr>
                <w:sz w:val="20"/>
                <w:szCs w:val="20"/>
              </w:rPr>
              <w:t xml:space="preserve">. Acta MEDICA </w:t>
            </w:r>
            <w:proofErr w:type="spellStart"/>
            <w:r w:rsidRPr="00EE5C98">
              <w:rPr>
                <w:sz w:val="20"/>
                <w:szCs w:val="20"/>
              </w:rPr>
              <w:t>Mediterr</w:t>
            </w:r>
            <w:proofErr w:type="spellEnd"/>
            <w:r w:rsidRPr="00EE5C98">
              <w:rPr>
                <w:sz w:val="20"/>
                <w:szCs w:val="20"/>
              </w:rPr>
              <w:t>. 2023;39(2):357-60.</w:t>
            </w:r>
          </w:p>
        </w:tc>
        <w:tc>
          <w:tcPr>
            <w:tcW w:w="531" w:type="pct"/>
          </w:tcPr>
          <w:p w14:paraId="6678E0F8" w14:textId="77777777" w:rsidR="007E6FC3" w:rsidRPr="00EE5C98" w:rsidRDefault="007E6FC3" w:rsidP="007E6FC3">
            <w:pPr>
              <w:pStyle w:val="TableParagraph"/>
              <w:spacing w:before="8" w:line="276" w:lineRule="auto"/>
              <w:jc w:val="center"/>
              <w:rPr>
                <w:sz w:val="20"/>
                <w:szCs w:val="20"/>
              </w:rPr>
            </w:pPr>
          </w:p>
          <w:p w14:paraId="4EB41A74" w14:textId="7AB40035" w:rsidR="007E6FC3" w:rsidRPr="00EE5C98" w:rsidRDefault="007E6FC3" w:rsidP="007E6FC3">
            <w:pPr>
              <w:pStyle w:val="TableParagraph"/>
              <w:spacing w:before="8" w:line="276" w:lineRule="auto"/>
              <w:jc w:val="center"/>
              <w:rPr>
                <w:sz w:val="20"/>
                <w:szCs w:val="20"/>
              </w:rPr>
            </w:pPr>
            <w:r w:rsidRPr="00EE5C98">
              <w:rPr>
                <w:sz w:val="20"/>
                <w:szCs w:val="20"/>
              </w:rPr>
              <w:t>163/170</w:t>
            </w:r>
            <w:r w:rsidRPr="00EE5C98">
              <w:rPr>
                <w:sz w:val="20"/>
                <w:szCs w:val="20"/>
              </w:rPr>
              <w:tab/>
            </w:r>
          </w:p>
        </w:tc>
        <w:tc>
          <w:tcPr>
            <w:tcW w:w="489" w:type="pct"/>
            <w:gridSpan w:val="2"/>
          </w:tcPr>
          <w:p w14:paraId="6A4310BF" w14:textId="77777777" w:rsidR="007E6FC3" w:rsidRPr="00EE5C98" w:rsidRDefault="007E6FC3" w:rsidP="007E6FC3">
            <w:pPr>
              <w:pStyle w:val="TableParagraph"/>
              <w:spacing w:before="8" w:line="276" w:lineRule="auto"/>
              <w:jc w:val="center"/>
              <w:rPr>
                <w:sz w:val="20"/>
                <w:szCs w:val="20"/>
              </w:rPr>
            </w:pPr>
          </w:p>
          <w:p w14:paraId="6E67A43D" w14:textId="7C552A42" w:rsidR="007E6FC3" w:rsidRPr="00EE5C98" w:rsidRDefault="007E6FC3" w:rsidP="007E6FC3">
            <w:pPr>
              <w:pStyle w:val="TableParagraph"/>
              <w:spacing w:before="8" w:line="276" w:lineRule="auto"/>
              <w:jc w:val="center"/>
              <w:rPr>
                <w:sz w:val="20"/>
                <w:szCs w:val="20"/>
              </w:rPr>
            </w:pPr>
            <w:r w:rsidRPr="00EE5C98">
              <w:rPr>
                <w:sz w:val="20"/>
                <w:szCs w:val="20"/>
              </w:rPr>
              <w:t>23</w:t>
            </w:r>
          </w:p>
          <w:p w14:paraId="191498AC" w14:textId="39FE444A" w:rsidR="007E6FC3" w:rsidRPr="00EE5C98" w:rsidRDefault="007E6FC3" w:rsidP="007E6FC3">
            <w:pPr>
              <w:pStyle w:val="TableParagraph"/>
              <w:spacing w:before="8" w:line="276" w:lineRule="auto"/>
              <w:jc w:val="center"/>
              <w:rPr>
                <w:sz w:val="20"/>
                <w:szCs w:val="20"/>
              </w:rPr>
            </w:pPr>
          </w:p>
        </w:tc>
        <w:tc>
          <w:tcPr>
            <w:tcW w:w="501" w:type="pct"/>
          </w:tcPr>
          <w:p w14:paraId="07681023" w14:textId="77777777" w:rsidR="007E6FC3" w:rsidRPr="00EE5C98" w:rsidRDefault="007E6FC3" w:rsidP="007E6FC3">
            <w:pPr>
              <w:pStyle w:val="TableParagraph"/>
              <w:spacing w:before="8" w:line="276" w:lineRule="auto"/>
              <w:jc w:val="center"/>
              <w:rPr>
                <w:sz w:val="20"/>
                <w:szCs w:val="20"/>
              </w:rPr>
            </w:pPr>
          </w:p>
          <w:p w14:paraId="4631B029" w14:textId="29E66972" w:rsidR="007E6FC3" w:rsidRPr="00EE5C98" w:rsidRDefault="007E6FC3" w:rsidP="007E6FC3">
            <w:pPr>
              <w:pStyle w:val="TableParagraph"/>
              <w:spacing w:before="8" w:line="276" w:lineRule="auto"/>
              <w:jc w:val="center"/>
              <w:rPr>
                <w:sz w:val="20"/>
                <w:szCs w:val="20"/>
              </w:rPr>
            </w:pPr>
            <w:r w:rsidRPr="00EE5C98">
              <w:rPr>
                <w:sz w:val="20"/>
                <w:szCs w:val="20"/>
              </w:rPr>
              <w:t>0.3</w:t>
            </w:r>
          </w:p>
          <w:p w14:paraId="7B3FFF24" w14:textId="6A8E9E20" w:rsidR="007E6FC3" w:rsidRPr="00EE5C98" w:rsidRDefault="007E6FC3" w:rsidP="007E6FC3">
            <w:pPr>
              <w:pStyle w:val="TableParagraph"/>
              <w:spacing w:before="8" w:line="276" w:lineRule="auto"/>
              <w:jc w:val="center"/>
              <w:rPr>
                <w:sz w:val="20"/>
                <w:szCs w:val="20"/>
              </w:rPr>
            </w:pPr>
          </w:p>
        </w:tc>
      </w:tr>
      <w:tr w:rsidR="007E6FC3" w:rsidRPr="00A22864" w14:paraId="29A9F7E5" w14:textId="77777777" w:rsidTr="00A654AB">
        <w:trPr>
          <w:trHeight w:val="227"/>
          <w:jc w:val="center"/>
        </w:trPr>
        <w:tc>
          <w:tcPr>
            <w:tcW w:w="269" w:type="pct"/>
            <w:vAlign w:val="center"/>
          </w:tcPr>
          <w:p w14:paraId="6EC8609C" w14:textId="6AE2936C" w:rsidR="007E6FC3" w:rsidRPr="00EE5C98" w:rsidRDefault="007E6FC3" w:rsidP="007E6FC3">
            <w:pPr>
              <w:spacing w:line="276" w:lineRule="auto"/>
              <w:ind w:left="-23"/>
              <w:jc w:val="center"/>
            </w:pPr>
            <w:r w:rsidRPr="00EE5C98">
              <w:t>6.</w:t>
            </w:r>
          </w:p>
        </w:tc>
        <w:tc>
          <w:tcPr>
            <w:tcW w:w="3210" w:type="pct"/>
            <w:gridSpan w:val="7"/>
          </w:tcPr>
          <w:p w14:paraId="182F418D" w14:textId="77777777" w:rsidR="007E6FC3" w:rsidRPr="00EE5C98" w:rsidRDefault="007E6FC3" w:rsidP="007E6FC3">
            <w:pPr>
              <w:jc w:val="both"/>
            </w:pPr>
            <w:r w:rsidRPr="00EE5C98">
              <w:t xml:space="preserve">Milovančev A, </w:t>
            </w:r>
            <w:r w:rsidRPr="00EE5C98">
              <w:rPr>
                <w:b/>
              </w:rPr>
              <w:t>Miljković T</w:t>
            </w:r>
            <w:r w:rsidRPr="00EE5C98">
              <w:t xml:space="preserve">, Ilić A, Stojšić Milosavljević A, Petrović M, Roklicer R, Lakičević N, Trivić T, Drid P. </w:t>
            </w:r>
            <w:r w:rsidRPr="00EE5C98">
              <w:fldChar w:fldCharType="begin"/>
            </w:r>
            <w:r w:rsidRPr="00EE5C98">
              <w:instrText xml:space="preserve"> HYPERLINK "https://www.ncbi.nlm.nih.gov/pmc/articles/PMC9905426/pdf/fcvm-10-1091603.pdf" </w:instrText>
            </w:r>
            <w:r w:rsidRPr="00EE5C98">
              <w:fldChar w:fldCharType="separate"/>
            </w:r>
            <w:r w:rsidRPr="00EE5C98">
              <w:rPr>
                <w:rStyle w:val="Hyperlink"/>
              </w:rPr>
              <w:t>Disrupting arrhythmia in a professional male wrestler athlete after rapid weight loss and high-intensity training-Case report</w:t>
            </w:r>
            <w:r w:rsidRPr="00EE5C98">
              <w:rPr>
                <w:rStyle w:val="Hyperlink"/>
              </w:rPr>
              <w:fldChar w:fldCharType="end"/>
            </w:r>
            <w:r w:rsidRPr="00EE5C98">
              <w:t>. Front Cardiovasc Med. 2023 Jan 25;10:1091603.</w:t>
            </w:r>
          </w:p>
        </w:tc>
        <w:tc>
          <w:tcPr>
            <w:tcW w:w="531" w:type="pct"/>
            <w:vAlign w:val="center"/>
          </w:tcPr>
          <w:p w14:paraId="67F281E1" w14:textId="7ABB71D1" w:rsidR="007E6FC3" w:rsidRPr="00EE5C98" w:rsidRDefault="007E6FC3" w:rsidP="007E6FC3">
            <w:pPr>
              <w:jc w:val="center"/>
            </w:pPr>
            <w:r w:rsidRPr="00EE5C98">
              <w:t>69/144</w:t>
            </w:r>
          </w:p>
        </w:tc>
        <w:tc>
          <w:tcPr>
            <w:tcW w:w="489" w:type="pct"/>
            <w:gridSpan w:val="2"/>
            <w:vAlign w:val="center"/>
          </w:tcPr>
          <w:p w14:paraId="5D6D95C3" w14:textId="040A45CE" w:rsidR="007E6FC3" w:rsidRPr="00EE5C98" w:rsidRDefault="007E6FC3" w:rsidP="007E6FC3">
            <w:pPr>
              <w:jc w:val="center"/>
            </w:pPr>
            <w:r w:rsidRPr="00EE5C98">
              <w:t xml:space="preserve">22 </w:t>
            </w:r>
          </w:p>
        </w:tc>
        <w:tc>
          <w:tcPr>
            <w:tcW w:w="501" w:type="pct"/>
            <w:vAlign w:val="center"/>
          </w:tcPr>
          <w:p w14:paraId="501751CD" w14:textId="24171262" w:rsidR="007E6FC3" w:rsidRPr="00EE5C98" w:rsidRDefault="007E6FC3" w:rsidP="007E6FC3">
            <w:pPr>
              <w:jc w:val="center"/>
            </w:pPr>
            <w:r w:rsidRPr="00EE5C98">
              <w:t>2.8</w:t>
            </w:r>
          </w:p>
        </w:tc>
      </w:tr>
      <w:tr w:rsidR="007E6FC3" w:rsidRPr="00A22864" w14:paraId="1D46B211" w14:textId="77777777" w:rsidTr="00BE3700">
        <w:trPr>
          <w:trHeight w:val="227"/>
          <w:jc w:val="center"/>
        </w:trPr>
        <w:tc>
          <w:tcPr>
            <w:tcW w:w="269" w:type="pct"/>
            <w:vAlign w:val="center"/>
          </w:tcPr>
          <w:p w14:paraId="7897DE89" w14:textId="247AEDEC" w:rsidR="007E6FC3" w:rsidRPr="00EE5C98" w:rsidRDefault="007E6FC3" w:rsidP="007E6FC3">
            <w:pPr>
              <w:spacing w:line="276" w:lineRule="auto"/>
              <w:ind w:left="-23"/>
              <w:jc w:val="center"/>
            </w:pPr>
            <w:r w:rsidRPr="00EE5C98">
              <w:t>7.</w:t>
            </w:r>
          </w:p>
        </w:tc>
        <w:tc>
          <w:tcPr>
            <w:tcW w:w="3210" w:type="pct"/>
            <w:gridSpan w:val="7"/>
          </w:tcPr>
          <w:p w14:paraId="75411F82" w14:textId="77777777" w:rsidR="007E6FC3" w:rsidRPr="00EE5C98" w:rsidRDefault="007E6FC3" w:rsidP="007E6FC3">
            <w:pPr>
              <w:widowControl/>
              <w:autoSpaceDE/>
              <w:autoSpaceDN/>
              <w:adjustRightInd/>
              <w:contextualSpacing/>
              <w:jc w:val="both"/>
            </w:pPr>
            <w:r w:rsidRPr="00EE5C98">
              <w:t xml:space="preserve">Rajic J, Zdravkovic R, Redzek A, Golubovic M, Bjeljac I, Todic M, Preveden M, Milosavljevic AM, Mrvic S, </w:t>
            </w:r>
            <w:r w:rsidRPr="00EE5C98">
              <w:rPr>
                <w:b/>
              </w:rPr>
              <w:t>Miljkovic T</w:t>
            </w:r>
            <w:r w:rsidRPr="00EE5C98">
              <w:t xml:space="preserve">, Preveden A. </w:t>
            </w:r>
            <w:r w:rsidRPr="00EE5C98">
              <w:fldChar w:fldCharType="begin"/>
            </w:r>
            <w:r w:rsidRPr="00EE5C98">
              <w:instrText xml:space="preserve"> HYPERLINK "https://journals.viamedica.pl/kardiologia_polska/article/view/92685" </w:instrText>
            </w:r>
            <w:r w:rsidRPr="00EE5C98">
              <w:fldChar w:fldCharType="separate"/>
            </w:r>
            <w:r w:rsidRPr="00EE5C98">
              <w:rPr>
                <w:rStyle w:val="Hyperlink"/>
              </w:rPr>
              <w:t>Genuine biatrial myxoma: The rarest form of myxoma</w:t>
            </w:r>
            <w:r w:rsidRPr="00EE5C98">
              <w:rPr>
                <w:rStyle w:val="Hyperlink"/>
              </w:rPr>
              <w:fldChar w:fldCharType="end"/>
            </w:r>
            <w:r w:rsidRPr="00EE5C98">
              <w:t>. Kardiol Pol. 2023;81(2):184-5.</w:t>
            </w:r>
          </w:p>
        </w:tc>
        <w:tc>
          <w:tcPr>
            <w:tcW w:w="531" w:type="pct"/>
          </w:tcPr>
          <w:p w14:paraId="5E62B43D" w14:textId="1C518AB4" w:rsidR="007E6FC3" w:rsidRPr="00EE5C98" w:rsidRDefault="007E6FC3" w:rsidP="007E6FC3">
            <w:pPr>
              <w:pStyle w:val="TableParagraph"/>
              <w:spacing w:before="8" w:line="276" w:lineRule="auto"/>
              <w:jc w:val="center"/>
              <w:rPr>
                <w:sz w:val="20"/>
                <w:szCs w:val="20"/>
              </w:rPr>
            </w:pPr>
            <w:r w:rsidRPr="00EE5C98">
              <w:rPr>
                <w:sz w:val="20"/>
                <w:szCs w:val="20"/>
              </w:rPr>
              <w:t>48/144</w:t>
            </w:r>
          </w:p>
        </w:tc>
        <w:tc>
          <w:tcPr>
            <w:tcW w:w="489" w:type="pct"/>
            <w:gridSpan w:val="2"/>
          </w:tcPr>
          <w:p w14:paraId="0BA9654D" w14:textId="7F42D216" w:rsidR="007E6FC3" w:rsidRPr="00EE5C98" w:rsidRDefault="007E6FC3" w:rsidP="007E6FC3">
            <w:pPr>
              <w:pStyle w:val="TableParagraph"/>
              <w:spacing w:before="8" w:line="276" w:lineRule="auto"/>
              <w:jc w:val="center"/>
              <w:rPr>
                <w:sz w:val="20"/>
                <w:szCs w:val="20"/>
              </w:rPr>
            </w:pPr>
            <w:r w:rsidRPr="00EE5C98">
              <w:rPr>
                <w:sz w:val="20"/>
                <w:szCs w:val="20"/>
              </w:rPr>
              <w:t xml:space="preserve">22 </w:t>
            </w:r>
          </w:p>
        </w:tc>
        <w:tc>
          <w:tcPr>
            <w:tcW w:w="501" w:type="pct"/>
          </w:tcPr>
          <w:p w14:paraId="7C9FE5FA" w14:textId="4C39E3AE" w:rsidR="007E6FC3" w:rsidRPr="00EE5C98" w:rsidRDefault="007E6FC3" w:rsidP="007E6FC3">
            <w:pPr>
              <w:pStyle w:val="TableParagraph"/>
              <w:spacing w:before="8" w:line="276" w:lineRule="auto"/>
              <w:jc w:val="center"/>
              <w:rPr>
                <w:sz w:val="20"/>
                <w:szCs w:val="20"/>
              </w:rPr>
            </w:pPr>
            <w:r w:rsidRPr="00EE5C98">
              <w:rPr>
                <w:sz w:val="20"/>
                <w:szCs w:val="20"/>
              </w:rPr>
              <w:t>3.7</w:t>
            </w:r>
          </w:p>
        </w:tc>
      </w:tr>
      <w:tr w:rsidR="007E6FC3" w:rsidRPr="00A22864" w14:paraId="5F45A952" w14:textId="77777777" w:rsidTr="00BE3700">
        <w:trPr>
          <w:trHeight w:val="227"/>
          <w:jc w:val="center"/>
        </w:trPr>
        <w:tc>
          <w:tcPr>
            <w:tcW w:w="269" w:type="pct"/>
            <w:vAlign w:val="center"/>
          </w:tcPr>
          <w:p w14:paraId="3C29EE99" w14:textId="5AAD1BD3" w:rsidR="007E6FC3" w:rsidRPr="00EE5C98" w:rsidRDefault="007E6FC3" w:rsidP="007E6FC3">
            <w:pPr>
              <w:spacing w:line="276" w:lineRule="auto"/>
              <w:ind w:left="-23"/>
              <w:jc w:val="center"/>
            </w:pPr>
            <w:r w:rsidRPr="00EE5C98">
              <w:t>8.</w:t>
            </w:r>
          </w:p>
        </w:tc>
        <w:tc>
          <w:tcPr>
            <w:tcW w:w="3210" w:type="pct"/>
            <w:gridSpan w:val="7"/>
          </w:tcPr>
          <w:p w14:paraId="2FB334CE" w14:textId="77777777" w:rsidR="007E6FC3" w:rsidRPr="00EE5C98" w:rsidRDefault="007E6FC3" w:rsidP="007E6FC3">
            <w:pPr>
              <w:widowControl/>
              <w:autoSpaceDE/>
              <w:autoSpaceDN/>
              <w:adjustRightInd/>
              <w:contextualSpacing/>
              <w:jc w:val="both"/>
              <w:rPr>
                <w:b/>
              </w:rPr>
            </w:pPr>
            <w:r w:rsidRPr="00EE5C98">
              <w:t xml:space="preserve">Milovančev A, Petrović M, Popadić V, </w:t>
            </w:r>
            <w:r w:rsidRPr="00EE5C98">
              <w:rPr>
                <w:b/>
              </w:rPr>
              <w:t>Miljković T</w:t>
            </w:r>
            <w:r w:rsidRPr="00EE5C98">
              <w:t xml:space="preserve">, Klašnja S, Djuran P, Ilić A, Kovačević M, Stojšić Milosavljević A, Brajković M, Crnokrak B, Memon L, Milojević A, Todorović Z, Čanković M, Lukić Šarkanović M, Bjelić S, Tadić S, Redžek A, Zdravković M. </w:t>
            </w:r>
            <w:r w:rsidRPr="00EE5C98">
              <w:fldChar w:fldCharType="begin"/>
            </w:r>
            <w:r w:rsidRPr="00EE5C98">
              <w:instrText xml:space="preserve"> HYPERLINK "https://www.mdpi.com/2077-0383/11/7/1791/htm" </w:instrText>
            </w:r>
            <w:r w:rsidRPr="00EE5C98">
              <w:fldChar w:fldCharType="separate"/>
            </w:r>
            <w:r w:rsidRPr="00EE5C98">
              <w:rPr>
                <w:rStyle w:val="Hyperlink"/>
              </w:rPr>
              <w:t>Characteristics and Outcomes of Patients with Acute Coronary Syndrome and COVID-19</w:t>
            </w:r>
            <w:r w:rsidRPr="00EE5C98">
              <w:rPr>
                <w:rStyle w:val="Hyperlink"/>
              </w:rPr>
              <w:fldChar w:fldCharType="end"/>
            </w:r>
            <w:r w:rsidRPr="00EE5C98">
              <w:t xml:space="preserve">. J Clin Med. 2022 Mar 24;11(7):1791. </w:t>
            </w:r>
          </w:p>
        </w:tc>
        <w:tc>
          <w:tcPr>
            <w:tcW w:w="531" w:type="pct"/>
          </w:tcPr>
          <w:p w14:paraId="08FD98C8" w14:textId="77777777" w:rsidR="007E6FC3" w:rsidRPr="00EE5C98" w:rsidRDefault="007E6FC3" w:rsidP="007E6FC3">
            <w:pPr>
              <w:pStyle w:val="TableParagraph"/>
              <w:spacing w:before="8" w:line="276" w:lineRule="auto"/>
              <w:jc w:val="center"/>
              <w:rPr>
                <w:sz w:val="20"/>
                <w:szCs w:val="20"/>
              </w:rPr>
            </w:pPr>
            <w:r w:rsidRPr="00EE5C98">
              <w:rPr>
                <w:sz w:val="20"/>
                <w:szCs w:val="20"/>
              </w:rPr>
              <w:t>39/169</w:t>
            </w:r>
          </w:p>
          <w:p w14:paraId="03DAF140" w14:textId="77777777" w:rsidR="007E6FC3" w:rsidRPr="00EE5C98" w:rsidRDefault="007E6FC3" w:rsidP="007E6FC3">
            <w:pPr>
              <w:pStyle w:val="TableParagraph"/>
              <w:spacing w:before="8" w:line="276" w:lineRule="auto"/>
              <w:jc w:val="center"/>
              <w:rPr>
                <w:sz w:val="20"/>
                <w:szCs w:val="20"/>
              </w:rPr>
            </w:pPr>
            <w:r w:rsidRPr="00EE5C98">
              <w:rPr>
                <w:sz w:val="20"/>
                <w:szCs w:val="20"/>
              </w:rPr>
              <w:t>(2020)</w:t>
            </w:r>
          </w:p>
        </w:tc>
        <w:tc>
          <w:tcPr>
            <w:tcW w:w="489" w:type="pct"/>
            <w:gridSpan w:val="2"/>
          </w:tcPr>
          <w:p w14:paraId="0165C765" w14:textId="77777777" w:rsidR="007E6FC3" w:rsidRPr="00EE5C98" w:rsidRDefault="007E6FC3" w:rsidP="007E6FC3">
            <w:pPr>
              <w:pStyle w:val="TableParagraph"/>
              <w:spacing w:before="8" w:line="276" w:lineRule="auto"/>
              <w:jc w:val="center"/>
              <w:rPr>
                <w:sz w:val="20"/>
                <w:szCs w:val="20"/>
              </w:rPr>
            </w:pPr>
            <w:r w:rsidRPr="00EE5C98">
              <w:rPr>
                <w:sz w:val="20"/>
                <w:szCs w:val="20"/>
              </w:rPr>
              <w:t>21</w:t>
            </w:r>
          </w:p>
          <w:p w14:paraId="389F2870" w14:textId="77777777" w:rsidR="007E6FC3" w:rsidRPr="00EE5C98" w:rsidRDefault="007E6FC3" w:rsidP="007E6FC3">
            <w:pPr>
              <w:pStyle w:val="TableParagraph"/>
              <w:spacing w:before="8" w:line="276" w:lineRule="auto"/>
              <w:jc w:val="center"/>
              <w:rPr>
                <w:sz w:val="20"/>
                <w:szCs w:val="20"/>
              </w:rPr>
            </w:pPr>
            <w:r w:rsidRPr="00EE5C98">
              <w:rPr>
                <w:sz w:val="20"/>
                <w:szCs w:val="20"/>
              </w:rPr>
              <w:t>(2020)</w:t>
            </w:r>
          </w:p>
        </w:tc>
        <w:tc>
          <w:tcPr>
            <w:tcW w:w="501" w:type="pct"/>
          </w:tcPr>
          <w:p w14:paraId="4CDF13C0" w14:textId="77777777" w:rsidR="007E6FC3" w:rsidRPr="00EE5C98" w:rsidRDefault="007E6FC3" w:rsidP="007E6FC3">
            <w:pPr>
              <w:pStyle w:val="TableParagraph"/>
              <w:spacing w:before="8" w:line="276" w:lineRule="auto"/>
              <w:jc w:val="center"/>
              <w:rPr>
                <w:sz w:val="20"/>
                <w:szCs w:val="20"/>
              </w:rPr>
            </w:pPr>
            <w:r w:rsidRPr="00EE5C98">
              <w:rPr>
                <w:sz w:val="20"/>
                <w:szCs w:val="20"/>
              </w:rPr>
              <w:t>4.242</w:t>
            </w:r>
          </w:p>
          <w:p w14:paraId="2505817F" w14:textId="77777777" w:rsidR="007E6FC3" w:rsidRPr="00EE5C98" w:rsidRDefault="007E6FC3" w:rsidP="007E6FC3">
            <w:pPr>
              <w:pStyle w:val="TableParagraph"/>
              <w:spacing w:before="8" w:line="276" w:lineRule="auto"/>
              <w:jc w:val="center"/>
              <w:rPr>
                <w:sz w:val="20"/>
                <w:szCs w:val="20"/>
              </w:rPr>
            </w:pPr>
            <w:r w:rsidRPr="00EE5C98">
              <w:rPr>
                <w:sz w:val="20"/>
                <w:szCs w:val="20"/>
              </w:rPr>
              <w:t>(2020)</w:t>
            </w:r>
          </w:p>
        </w:tc>
      </w:tr>
      <w:tr w:rsidR="007E6FC3" w:rsidRPr="00A22864" w14:paraId="25B55A52" w14:textId="77777777" w:rsidTr="00BE3700">
        <w:trPr>
          <w:trHeight w:val="227"/>
          <w:jc w:val="center"/>
        </w:trPr>
        <w:tc>
          <w:tcPr>
            <w:tcW w:w="269" w:type="pct"/>
            <w:vAlign w:val="center"/>
          </w:tcPr>
          <w:p w14:paraId="0E7D93DF" w14:textId="3B2F3912" w:rsidR="007E6FC3" w:rsidRPr="00EE5C98" w:rsidRDefault="007E6FC3" w:rsidP="007E6FC3">
            <w:pPr>
              <w:spacing w:line="276" w:lineRule="auto"/>
              <w:ind w:left="-23"/>
              <w:jc w:val="center"/>
            </w:pPr>
            <w:r w:rsidRPr="00EE5C98">
              <w:t>9.</w:t>
            </w:r>
          </w:p>
        </w:tc>
        <w:tc>
          <w:tcPr>
            <w:tcW w:w="3210" w:type="pct"/>
            <w:gridSpan w:val="7"/>
          </w:tcPr>
          <w:p w14:paraId="029E86C4" w14:textId="77777777" w:rsidR="007E6FC3" w:rsidRPr="00EE5C98" w:rsidRDefault="007E6FC3" w:rsidP="007E6FC3">
            <w:pPr>
              <w:pStyle w:val="TableParagraph"/>
              <w:ind w:right="-15"/>
              <w:jc w:val="both"/>
              <w:rPr>
                <w:b/>
                <w:sz w:val="20"/>
                <w:szCs w:val="20"/>
              </w:rPr>
            </w:pPr>
            <w:proofErr w:type="spellStart"/>
            <w:r w:rsidRPr="00EE5C98">
              <w:rPr>
                <w:sz w:val="20"/>
                <w:szCs w:val="20"/>
              </w:rPr>
              <w:t>Bjelobrk</w:t>
            </w:r>
            <w:proofErr w:type="spellEnd"/>
            <w:r w:rsidRPr="00EE5C98">
              <w:rPr>
                <w:sz w:val="20"/>
                <w:szCs w:val="20"/>
              </w:rPr>
              <w:t xml:space="preserve"> M, </w:t>
            </w:r>
            <w:r w:rsidRPr="00EE5C98">
              <w:rPr>
                <w:b/>
                <w:sz w:val="20"/>
                <w:szCs w:val="20"/>
              </w:rPr>
              <w:t>Miljković T</w:t>
            </w:r>
            <w:r w:rsidRPr="00EE5C98">
              <w:rPr>
                <w:sz w:val="20"/>
                <w:szCs w:val="20"/>
              </w:rPr>
              <w:t xml:space="preserve">, Ilić A, Milovančev A, </w:t>
            </w:r>
            <w:proofErr w:type="spellStart"/>
            <w:r w:rsidRPr="00EE5C98">
              <w:rPr>
                <w:sz w:val="20"/>
                <w:szCs w:val="20"/>
              </w:rPr>
              <w:t>Tadić</w:t>
            </w:r>
            <w:proofErr w:type="spellEnd"/>
            <w:r w:rsidRPr="00EE5C98">
              <w:rPr>
                <w:sz w:val="20"/>
                <w:szCs w:val="20"/>
              </w:rPr>
              <w:t xml:space="preserve"> S, </w:t>
            </w:r>
            <w:proofErr w:type="spellStart"/>
            <w:r w:rsidRPr="00EE5C98">
              <w:rPr>
                <w:sz w:val="20"/>
                <w:szCs w:val="20"/>
              </w:rPr>
              <w:t>Bjelić</w:t>
            </w:r>
            <w:proofErr w:type="spellEnd"/>
            <w:r w:rsidRPr="00EE5C98">
              <w:rPr>
                <w:sz w:val="20"/>
                <w:szCs w:val="20"/>
              </w:rPr>
              <w:t xml:space="preserve"> S, </w:t>
            </w:r>
            <w:proofErr w:type="spellStart"/>
            <w:r w:rsidRPr="00EE5C98">
              <w:rPr>
                <w:sz w:val="20"/>
                <w:szCs w:val="20"/>
              </w:rPr>
              <w:t>Dabović</w:t>
            </w:r>
            <w:proofErr w:type="spellEnd"/>
            <w:r w:rsidRPr="00EE5C98">
              <w:rPr>
                <w:sz w:val="20"/>
                <w:szCs w:val="20"/>
              </w:rPr>
              <w:t xml:space="preserve"> D, Čanković M, </w:t>
            </w:r>
            <w:proofErr w:type="spellStart"/>
            <w:r w:rsidRPr="00EE5C98">
              <w:rPr>
                <w:sz w:val="20"/>
                <w:szCs w:val="20"/>
              </w:rPr>
              <w:t>Ivanović</w:t>
            </w:r>
            <w:proofErr w:type="spellEnd"/>
            <w:r w:rsidRPr="00EE5C98">
              <w:rPr>
                <w:sz w:val="20"/>
                <w:szCs w:val="20"/>
              </w:rPr>
              <w:t xml:space="preserve"> V, Preveden A, Popović D. Prediction parameters of left ventricular diastolic dysfunction improvement in patients after acute coronary syndrome. Acta Clin Belg. 2022 Aug 24:1-9.</w:t>
            </w:r>
          </w:p>
        </w:tc>
        <w:tc>
          <w:tcPr>
            <w:tcW w:w="531" w:type="pct"/>
          </w:tcPr>
          <w:p w14:paraId="16A4BBE3" w14:textId="77777777" w:rsidR="007E6FC3" w:rsidRPr="00EE5C98" w:rsidRDefault="007E6FC3" w:rsidP="007E6FC3">
            <w:pPr>
              <w:pStyle w:val="TableParagraph"/>
              <w:spacing w:before="8" w:line="276" w:lineRule="auto"/>
              <w:jc w:val="center"/>
              <w:rPr>
                <w:sz w:val="20"/>
                <w:szCs w:val="20"/>
              </w:rPr>
            </w:pPr>
            <w:r w:rsidRPr="00EE5C98">
              <w:rPr>
                <w:sz w:val="20"/>
                <w:szCs w:val="20"/>
              </w:rPr>
              <w:t>118/168</w:t>
            </w:r>
          </w:p>
        </w:tc>
        <w:tc>
          <w:tcPr>
            <w:tcW w:w="489" w:type="pct"/>
            <w:gridSpan w:val="2"/>
          </w:tcPr>
          <w:p w14:paraId="48C8AD29" w14:textId="77777777" w:rsidR="007E6FC3" w:rsidRPr="00EE5C98" w:rsidRDefault="007E6FC3" w:rsidP="007E6FC3">
            <w:pPr>
              <w:pStyle w:val="TableParagraph"/>
              <w:spacing w:before="8" w:line="276" w:lineRule="auto"/>
              <w:jc w:val="center"/>
              <w:rPr>
                <w:sz w:val="20"/>
                <w:szCs w:val="20"/>
              </w:rPr>
            </w:pPr>
            <w:r w:rsidRPr="00EE5C98">
              <w:rPr>
                <w:sz w:val="20"/>
                <w:szCs w:val="20"/>
              </w:rPr>
              <w:t>23</w:t>
            </w:r>
          </w:p>
        </w:tc>
        <w:tc>
          <w:tcPr>
            <w:tcW w:w="501" w:type="pct"/>
          </w:tcPr>
          <w:p w14:paraId="55A7E97E" w14:textId="77777777" w:rsidR="007E6FC3" w:rsidRPr="00EE5C98" w:rsidRDefault="007E6FC3" w:rsidP="007E6FC3">
            <w:pPr>
              <w:pStyle w:val="TableParagraph"/>
              <w:spacing w:before="8" w:line="276" w:lineRule="auto"/>
              <w:jc w:val="center"/>
              <w:rPr>
                <w:sz w:val="20"/>
                <w:szCs w:val="20"/>
              </w:rPr>
            </w:pPr>
            <w:r w:rsidRPr="00EE5C98">
              <w:rPr>
                <w:sz w:val="20"/>
                <w:szCs w:val="20"/>
              </w:rPr>
              <w:t>1.6</w:t>
            </w:r>
          </w:p>
        </w:tc>
      </w:tr>
      <w:tr w:rsidR="007E6FC3" w:rsidRPr="00A22864" w14:paraId="23CAFA9B" w14:textId="77777777" w:rsidTr="00BE3700">
        <w:trPr>
          <w:trHeight w:val="227"/>
          <w:jc w:val="center"/>
        </w:trPr>
        <w:tc>
          <w:tcPr>
            <w:tcW w:w="269" w:type="pct"/>
            <w:vAlign w:val="center"/>
          </w:tcPr>
          <w:p w14:paraId="3956C392" w14:textId="3A868035" w:rsidR="007E6FC3" w:rsidRPr="00EE5C98" w:rsidRDefault="007E6FC3" w:rsidP="007E6FC3">
            <w:pPr>
              <w:spacing w:line="276" w:lineRule="auto"/>
              <w:ind w:left="-23"/>
              <w:jc w:val="center"/>
            </w:pPr>
            <w:r w:rsidRPr="00EE5C98">
              <w:t>10.</w:t>
            </w:r>
          </w:p>
        </w:tc>
        <w:tc>
          <w:tcPr>
            <w:tcW w:w="3210" w:type="pct"/>
            <w:gridSpan w:val="7"/>
          </w:tcPr>
          <w:p w14:paraId="50999254" w14:textId="77777777" w:rsidR="007E6FC3" w:rsidRPr="00EE5C98" w:rsidRDefault="007E6FC3" w:rsidP="007E6FC3">
            <w:pPr>
              <w:jc w:val="both"/>
              <w:rPr>
                <w:color w:val="212121"/>
                <w:shd w:val="clear" w:color="auto" w:fill="FFFFFF"/>
              </w:rPr>
            </w:pPr>
            <w:r w:rsidRPr="00EE5C98">
              <w:t xml:space="preserve">Petrović B, Petrović M, Đuran B, Đan I, </w:t>
            </w:r>
            <w:r w:rsidRPr="00EE5C98">
              <w:rPr>
                <w:b/>
              </w:rPr>
              <w:t>Miljković T</w:t>
            </w:r>
            <w:r w:rsidRPr="00EE5C98">
              <w:t xml:space="preserve">, </w:t>
            </w:r>
            <w:r w:rsidRPr="00EE5C98">
              <w:rPr>
                <w:bCs/>
              </w:rPr>
              <w:t>Čanković M</w:t>
            </w:r>
            <w:r w:rsidRPr="00EE5C98">
              <w:t xml:space="preserve">, et al. </w:t>
            </w:r>
            <w:r w:rsidRPr="00EE5C98">
              <w:fldChar w:fldCharType="begin"/>
            </w:r>
            <w:r w:rsidRPr="00EE5C98">
              <w:instrText xml:space="preserve"> HYPERLINK "http://www.doiserbia.nb.rs/img/doi/0370-8179/2022%20OnLine-First/0370-81792200031P.pdf" </w:instrText>
            </w:r>
            <w:r w:rsidRPr="00EE5C98">
              <w:fldChar w:fldCharType="separate"/>
            </w:r>
            <w:r w:rsidRPr="00EE5C98">
              <w:rPr>
                <w:rStyle w:val="Hyperlink"/>
              </w:rPr>
              <w:t>Left breast radiotherapy - the impact of heart and lad doses to cardiovascular diseases developed eight years after treatment</w:t>
            </w:r>
            <w:r w:rsidRPr="00EE5C98">
              <w:rPr>
                <w:rStyle w:val="Hyperlink"/>
              </w:rPr>
              <w:fldChar w:fldCharType="end"/>
            </w:r>
            <w:r w:rsidRPr="00EE5C98">
              <w:t>. Srp Arh Celok Lek. 2022;150(5-6):288-94.</w:t>
            </w:r>
          </w:p>
        </w:tc>
        <w:tc>
          <w:tcPr>
            <w:tcW w:w="531" w:type="pct"/>
          </w:tcPr>
          <w:p w14:paraId="2E8F75A3" w14:textId="77777777" w:rsidR="007E6FC3" w:rsidRPr="00EE5C98" w:rsidRDefault="007E6FC3" w:rsidP="007E6FC3">
            <w:pPr>
              <w:pStyle w:val="TableParagraph"/>
              <w:spacing w:before="8" w:line="276" w:lineRule="auto"/>
              <w:jc w:val="center"/>
              <w:rPr>
                <w:sz w:val="20"/>
                <w:szCs w:val="20"/>
              </w:rPr>
            </w:pPr>
            <w:r w:rsidRPr="00EE5C98">
              <w:rPr>
                <w:sz w:val="20"/>
                <w:szCs w:val="20"/>
              </w:rPr>
              <w:t>164/168</w:t>
            </w:r>
          </w:p>
        </w:tc>
        <w:tc>
          <w:tcPr>
            <w:tcW w:w="489" w:type="pct"/>
            <w:gridSpan w:val="2"/>
          </w:tcPr>
          <w:p w14:paraId="50A0AEE1" w14:textId="77777777" w:rsidR="007E6FC3" w:rsidRPr="00EE5C98" w:rsidRDefault="007E6FC3" w:rsidP="007E6FC3">
            <w:pPr>
              <w:pStyle w:val="TableParagraph"/>
              <w:spacing w:before="8" w:line="276" w:lineRule="auto"/>
              <w:jc w:val="center"/>
              <w:rPr>
                <w:sz w:val="20"/>
                <w:szCs w:val="20"/>
              </w:rPr>
            </w:pPr>
            <w:r w:rsidRPr="00EE5C98">
              <w:rPr>
                <w:sz w:val="20"/>
                <w:szCs w:val="20"/>
              </w:rPr>
              <w:t xml:space="preserve">23 </w:t>
            </w:r>
          </w:p>
        </w:tc>
        <w:tc>
          <w:tcPr>
            <w:tcW w:w="501" w:type="pct"/>
          </w:tcPr>
          <w:p w14:paraId="3F61BE36" w14:textId="77777777" w:rsidR="007E6FC3" w:rsidRPr="00EE5C98" w:rsidRDefault="007E6FC3" w:rsidP="007E6FC3">
            <w:pPr>
              <w:pStyle w:val="TableParagraph"/>
              <w:spacing w:before="8" w:line="276" w:lineRule="auto"/>
              <w:jc w:val="center"/>
              <w:rPr>
                <w:sz w:val="20"/>
                <w:szCs w:val="20"/>
              </w:rPr>
            </w:pPr>
            <w:r w:rsidRPr="00EE5C98">
              <w:rPr>
                <w:sz w:val="20"/>
                <w:szCs w:val="20"/>
              </w:rPr>
              <w:t>0.2</w:t>
            </w:r>
          </w:p>
        </w:tc>
      </w:tr>
      <w:tr w:rsidR="007E6FC3" w:rsidRPr="00A22864" w14:paraId="6365D083" w14:textId="77777777" w:rsidTr="00BE3700">
        <w:trPr>
          <w:trHeight w:val="227"/>
          <w:jc w:val="center"/>
        </w:trPr>
        <w:tc>
          <w:tcPr>
            <w:tcW w:w="269" w:type="pct"/>
            <w:vAlign w:val="center"/>
          </w:tcPr>
          <w:p w14:paraId="3CFCCFBF" w14:textId="447C5030" w:rsidR="007E6FC3" w:rsidRPr="00EE5C98" w:rsidRDefault="007E6FC3" w:rsidP="007E6FC3">
            <w:pPr>
              <w:spacing w:line="276" w:lineRule="auto"/>
              <w:ind w:left="-23"/>
              <w:jc w:val="center"/>
            </w:pPr>
            <w:r w:rsidRPr="00EE5C98">
              <w:t>11.</w:t>
            </w:r>
          </w:p>
        </w:tc>
        <w:tc>
          <w:tcPr>
            <w:tcW w:w="3210" w:type="pct"/>
            <w:gridSpan w:val="7"/>
          </w:tcPr>
          <w:p w14:paraId="49BA9825" w14:textId="77777777" w:rsidR="007E6FC3" w:rsidRPr="00EE5C98" w:rsidRDefault="007E6FC3" w:rsidP="007E6FC3">
            <w:pPr>
              <w:jc w:val="both"/>
            </w:pPr>
            <w:r w:rsidRPr="00EE5C98">
              <w:rPr>
                <w:b/>
              </w:rPr>
              <w:t>Miljković T</w:t>
            </w:r>
            <w:r w:rsidRPr="00EE5C98">
              <w:t xml:space="preserve">, Ilić A, Milovančev A, Bjelobrk M, Stefanović M, Stojšić-Milosavljević A, Tadić S, Golubović M, Popov T, Petrović M. </w:t>
            </w:r>
            <w:r w:rsidRPr="00EE5C98">
              <w:fldChar w:fldCharType="begin"/>
            </w:r>
            <w:r w:rsidRPr="00EE5C98">
              <w:instrText xml:space="preserve"> HYPERLINK "https://www.mdpi.com/1648-9144/58/2/156/htm" </w:instrText>
            </w:r>
            <w:r w:rsidRPr="00EE5C98">
              <w:fldChar w:fldCharType="separate"/>
            </w:r>
            <w:r w:rsidRPr="00EE5C98">
              <w:rPr>
                <w:rStyle w:val="Hyperlink"/>
              </w:rPr>
              <w:t>Left Atrial Strain as a Predictor of Left Ventricular Diastolic Dysfunction in Patients with Arterial Hypertension</w:t>
            </w:r>
            <w:r w:rsidRPr="00EE5C98">
              <w:rPr>
                <w:rStyle w:val="Hyperlink"/>
              </w:rPr>
              <w:fldChar w:fldCharType="end"/>
            </w:r>
            <w:r w:rsidRPr="00EE5C98">
              <w:t>. Medicina Lithuania (Kaunas). 2022 Jan 20;58(2):156. doi: 10.3390/medicina58020156.</w:t>
            </w:r>
          </w:p>
        </w:tc>
        <w:tc>
          <w:tcPr>
            <w:tcW w:w="531" w:type="pct"/>
          </w:tcPr>
          <w:p w14:paraId="166BA168" w14:textId="77777777" w:rsidR="007E6FC3" w:rsidRPr="00EE5C98" w:rsidRDefault="007E6FC3" w:rsidP="007E6FC3">
            <w:pPr>
              <w:pStyle w:val="TableParagraph"/>
              <w:spacing w:before="8" w:line="276" w:lineRule="auto"/>
              <w:jc w:val="center"/>
              <w:rPr>
                <w:sz w:val="20"/>
                <w:szCs w:val="20"/>
              </w:rPr>
            </w:pPr>
            <w:r w:rsidRPr="00EE5C98">
              <w:rPr>
                <w:sz w:val="20"/>
                <w:szCs w:val="20"/>
              </w:rPr>
              <w:t>87/168</w:t>
            </w:r>
          </w:p>
        </w:tc>
        <w:tc>
          <w:tcPr>
            <w:tcW w:w="489" w:type="pct"/>
            <w:gridSpan w:val="2"/>
          </w:tcPr>
          <w:p w14:paraId="3A1BBDB7" w14:textId="77777777" w:rsidR="007E6FC3" w:rsidRPr="00EE5C98" w:rsidRDefault="007E6FC3" w:rsidP="007E6FC3">
            <w:pPr>
              <w:pStyle w:val="TableParagraph"/>
              <w:spacing w:before="8" w:line="276" w:lineRule="auto"/>
              <w:jc w:val="center"/>
              <w:rPr>
                <w:sz w:val="20"/>
                <w:szCs w:val="20"/>
              </w:rPr>
            </w:pPr>
            <w:r w:rsidRPr="00EE5C98">
              <w:rPr>
                <w:sz w:val="20"/>
                <w:szCs w:val="20"/>
              </w:rPr>
              <w:t>22</w:t>
            </w:r>
          </w:p>
          <w:p w14:paraId="5549F264" w14:textId="77777777" w:rsidR="007E6FC3" w:rsidRPr="00EE5C98" w:rsidRDefault="007E6FC3" w:rsidP="007E6FC3">
            <w:pPr>
              <w:pStyle w:val="TableParagraph"/>
              <w:spacing w:before="8" w:line="276" w:lineRule="auto"/>
              <w:jc w:val="center"/>
              <w:rPr>
                <w:sz w:val="20"/>
                <w:szCs w:val="20"/>
              </w:rPr>
            </w:pPr>
          </w:p>
        </w:tc>
        <w:tc>
          <w:tcPr>
            <w:tcW w:w="501" w:type="pct"/>
          </w:tcPr>
          <w:p w14:paraId="10E4C929" w14:textId="77777777" w:rsidR="007E6FC3" w:rsidRPr="00EE5C98" w:rsidRDefault="007E6FC3" w:rsidP="007E6FC3">
            <w:pPr>
              <w:pStyle w:val="TableParagraph"/>
              <w:spacing w:before="8" w:line="276" w:lineRule="auto"/>
              <w:jc w:val="center"/>
              <w:rPr>
                <w:sz w:val="20"/>
                <w:szCs w:val="20"/>
              </w:rPr>
            </w:pPr>
            <w:r w:rsidRPr="00EE5C98">
              <w:rPr>
                <w:sz w:val="20"/>
                <w:szCs w:val="20"/>
              </w:rPr>
              <w:t>2.6</w:t>
            </w:r>
          </w:p>
          <w:p w14:paraId="3405F3C6" w14:textId="77777777" w:rsidR="007E6FC3" w:rsidRPr="00EE5C98" w:rsidRDefault="007E6FC3" w:rsidP="007E6FC3">
            <w:pPr>
              <w:pStyle w:val="TableParagraph"/>
              <w:spacing w:before="8" w:line="276" w:lineRule="auto"/>
              <w:jc w:val="center"/>
              <w:rPr>
                <w:sz w:val="20"/>
                <w:szCs w:val="20"/>
              </w:rPr>
            </w:pPr>
          </w:p>
        </w:tc>
      </w:tr>
      <w:tr w:rsidR="007E6FC3" w:rsidRPr="00A22864" w14:paraId="150E4041" w14:textId="77777777" w:rsidTr="00BE3700">
        <w:trPr>
          <w:trHeight w:val="227"/>
          <w:jc w:val="center"/>
        </w:trPr>
        <w:tc>
          <w:tcPr>
            <w:tcW w:w="269" w:type="pct"/>
            <w:vAlign w:val="center"/>
          </w:tcPr>
          <w:p w14:paraId="53FD2CC5" w14:textId="28E8763E" w:rsidR="007E6FC3" w:rsidRPr="00EE5C98" w:rsidRDefault="007E6FC3" w:rsidP="007E6FC3">
            <w:pPr>
              <w:spacing w:line="276" w:lineRule="auto"/>
              <w:ind w:left="-23"/>
              <w:jc w:val="center"/>
            </w:pPr>
            <w:r w:rsidRPr="00EE5C98">
              <w:t>12.</w:t>
            </w:r>
          </w:p>
        </w:tc>
        <w:tc>
          <w:tcPr>
            <w:tcW w:w="3210" w:type="pct"/>
            <w:gridSpan w:val="7"/>
          </w:tcPr>
          <w:p w14:paraId="32AB7315" w14:textId="77777777" w:rsidR="007E6FC3" w:rsidRPr="00EE5C98" w:rsidRDefault="007E6FC3" w:rsidP="007E6FC3">
            <w:pPr>
              <w:pStyle w:val="Heading1"/>
              <w:shd w:val="clear" w:color="auto" w:fill="FFFFFF"/>
              <w:jc w:val="both"/>
              <w:rPr>
                <w:rStyle w:val="standard-view-style"/>
                <w:b w:val="0"/>
                <w:sz w:val="20"/>
                <w:szCs w:val="20"/>
                <w:bdr w:val="none" w:sz="0" w:space="0" w:color="auto" w:frame="1"/>
              </w:rPr>
            </w:pPr>
            <w:r w:rsidRPr="00EE5C98">
              <w:rPr>
                <w:b w:val="0"/>
                <w:sz w:val="20"/>
                <w:szCs w:val="20"/>
              </w:rPr>
              <w:t xml:space="preserve">Preveden A, Golubovic M, Bjelobrk M, </w:t>
            </w:r>
            <w:r w:rsidRPr="00EE5C98">
              <w:rPr>
                <w:sz w:val="20"/>
                <w:szCs w:val="20"/>
              </w:rPr>
              <w:t>Miljkovic T</w:t>
            </w:r>
            <w:r w:rsidRPr="00EE5C98">
              <w:rPr>
                <w:b w:val="0"/>
                <w:sz w:val="20"/>
                <w:szCs w:val="20"/>
              </w:rPr>
              <w:t>, Ilic A, Stojsic S, Gajic D, Glavaski M, Maier LS, Okwose N, Popovic D, Barlocco F, Ristic A, MacGowan GA, Olivotto I, Filipovic N, Jakovljevic DG, Velicki L</w:t>
            </w:r>
            <w:r w:rsidRPr="00EE5C98">
              <w:rPr>
                <w:sz w:val="20"/>
                <w:szCs w:val="20"/>
              </w:rPr>
              <w:t>.</w:t>
            </w:r>
            <w:r w:rsidRPr="00EE5C98">
              <w:rPr>
                <w:b w:val="0"/>
                <w:sz w:val="20"/>
                <w:szCs w:val="20"/>
              </w:rPr>
              <w:t xml:space="preserve"> </w:t>
            </w:r>
            <w:r w:rsidRPr="00EE5C98">
              <w:rPr>
                <w:sz w:val="20"/>
                <w:szCs w:val="20"/>
              </w:rPr>
              <w:fldChar w:fldCharType="begin"/>
            </w:r>
            <w:r w:rsidRPr="00EE5C98">
              <w:rPr>
                <w:sz w:val="20"/>
                <w:szCs w:val="20"/>
              </w:rPr>
              <w:instrText xml:space="preserve"> HYPERLINK "https://www.mdpi.com/1648-9144/58/2/314/htm" </w:instrText>
            </w:r>
            <w:r w:rsidRPr="00EE5C98">
              <w:rPr>
                <w:sz w:val="20"/>
                <w:szCs w:val="20"/>
              </w:rPr>
              <w:fldChar w:fldCharType="separate"/>
            </w:r>
            <w:r w:rsidRPr="00EE5C98">
              <w:rPr>
                <w:rStyle w:val="Hyperlink"/>
                <w:b w:val="0"/>
                <w:sz w:val="20"/>
                <w:szCs w:val="20"/>
              </w:rPr>
              <w:t>Gender Related Differences in the Clinical Presentation of Hypertrophic Cardiomyopathy-An Analysis from the SILICOFCM Database</w:t>
            </w:r>
            <w:r w:rsidRPr="00EE5C98">
              <w:rPr>
                <w:rStyle w:val="Hyperlink"/>
                <w:b w:val="0"/>
                <w:sz w:val="20"/>
                <w:szCs w:val="20"/>
              </w:rPr>
              <w:fldChar w:fldCharType="end"/>
            </w:r>
            <w:r w:rsidRPr="00EE5C98">
              <w:rPr>
                <w:b w:val="0"/>
                <w:sz w:val="20"/>
                <w:szCs w:val="20"/>
              </w:rPr>
              <w:t>. Medicina</w:t>
            </w:r>
            <w:r w:rsidRPr="00EE5C98">
              <w:rPr>
                <w:sz w:val="20"/>
                <w:szCs w:val="20"/>
              </w:rPr>
              <w:t xml:space="preserve"> </w:t>
            </w:r>
            <w:r w:rsidRPr="00EE5C98">
              <w:rPr>
                <w:b w:val="0"/>
                <w:sz w:val="20"/>
                <w:szCs w:val="20"/>
              </w:rPr>
              <w:t xml:space="preserve">Lithuania (Kaunas). 2022 Feb 18;58(2):314. </w:t>
            </w:r>
          </w:p>
        </w:tc>
        <w:tc>
          <w:tcPr>
            <w:tcW w:w="531" w:type="pct"/>
          </w:tcPr>
          <w:p w14:paraId="766ACD95" w14:textId="77777777" w:rsidR="007E6FC3" w:rsidRPr="00EE5C98" w:rsidRDefault="007E6FC3" w:rsidP="007E6FC3">
            <w:pPr>
              <w:pStyle w:val="TableParagraph"/>
              <w:spacing w:before="8" w:line="276" w:lineRule="auto"/>
              <w:jc w:val="center"/>
              <w:rPr>
                <w:sz w:val="20"/>
                <w:szCs w:val="20"/>
              </w:rPr>
            </w:pPr>
            <w:r w:rsidRPr="00EE5C98">
              <w:rPr>
                <w:sz w:val="20"/>
                <w:szCs w:val="20"/>
              </w:rPr>
              <w:t>87/168</w:t>
            </w:r>
          </w:p>
        </w:tc>
        <w:tc>
          <w:tcPr>
            <w:tcW w:w="489" w:type="pct"/>
            <w:gridSpan w:val="2"/>
          </w:tcPr>
          <w:p w14:paraId="7A5DCEFA" w14:textId="77777777" w:rsidR="007E6FC3" w:rsidRPr="00EE5C98" w:rsidRDefault="007E6FC3" w:rsidP="007E6FC3">
            <w:pPr>
              <w:pStyle w:val="TableParagraph"/>
              <w:spacing w:before="8" w:line="276" w:lineRule="auto"/>
              <w:jc w:val="center"/>
              <w:rPr>
                <w:sz w:val="20"/>
                <w:szCs w:val="20"/>
              </w:rPr>
            </w:pPr>
            <w:r w:rsidRPr="00EE5C98">
              <w:rPr>
                <w:sz w:val="20"/>
                <w:szCs w:val="20"/>
              </w:rPr>
              <w:t>22</w:t>
            </w:r>
          </w:p>
          <w:p w14:paraId="7BDA44C7" w14:textId="77777777" w:rsidR="007E6FC3" w:rsidRPr="00EE5C98" w:rsidRDefault="007E6FC3" w:rsidP="007E6FC3">
            <w:pPr>
              <w:pStyle w:val="TableParagraph"/>
              <w:spacing w:before="8" w:line="276" w:lineRule="auto"/>
              <w:jc w:val="center"/>
              <w:rPr>
                <w:sz w:val="20"/>
                <w:szCs w:val="20"/>
              </w:rPr>
            </w:pPr>
          </w:p>
        </w:tc>
        <w:tc>
          <w:tcPr>
            <w:tcW w:w="501" w:type="pct"/>
          </w:tcPr>
          <w:p w14:paraId="7F8D7F26" w14:textId="77777777" w:rsidR="007E6FC3" w:rsidRPr="00EE5C98" w:rsidRDefault="007E6FC3" w:rsidP="007E6FC3">
            <w:pPr>
              <w:pStyle w:val="TableParagraph"/>
              <w:spacing w:before="8" w:line="276" w:lineRule="auto"/>
              <w:jc w:val="center"/>
              <w:rPr>
                <w:sz w:val="20"/>
                <w:szCs w:val="20"/>
              </w:rPr>
            </w:pPr>
            <w:r w:rsidRPr="00EE5C98">
              <w:rPr>
                <w:sz w:val="20"/>
                <w:szCs w:val="20"/>
              </w:rPr>
              <w:t>2.6</w:t>
            </w:r>
          </w:p>
          <w:p w14:paraId="7253D48E" w14:textId="77777777" w:rsidR="007E6FC3" w:rsidRPr="00EE5C98" w:rsidRDefault="007E6FC3" w:rsidP="007E6FC3">
            <w:pPr>
              <w:pStyle w:val="TableParagraph"/>
              <w:spacing w:before="8" w:line="276" w:lineRule="auto"/>
              <w:jc w:val="center"/>
              <w:rPr>
                <w:sz w:val="20"/>
                <w:szCs w:val="20"/>
              </w:rPr>
            </w:pPr>
          </w:p>
        </w:tc>
      </w:tr>
      <w:tr w:rsidR="007E6FC3" w:rsidRPr="00A22864" w14:paraId="102674FA" w14:textId="77777777" w:rsidTr="00BE3700">
        <w:trPr>
          <w:trHeight w:val="227"/>
          <w:jc w:val="center"/>
        </w:trPr>
        <w:tc>
          <w:tcPr>
            <w:tcW w:w="269" w:type="pct"/>
            <w:vAlign w:val="center"/>
          </w:tcPr>
          <w:p w14:paraId="5EC3AA0B" w14:textId="7E5DB24A" w:rsidR="007E6FC3" w:rsidRPr="00EE5C98" w:rsidRDefault="007E6FC3" w:rsidP="007E6FC3">
            <w:pPr>
              <w:spacing w:line="276" w:lineRule="auto"/>
              <w:ind w:left="-23"/>
              <w:jc w:val="center"/>
            </w:pPr>
            <w:r w:rsidRPr="00EE5C98">
              <w:t>13.</w:t>
            </w:r>
          </w:p>
        </w:tc>
        <w:tc>
          <w:tcPr>
            <w:tcW w:w="3210" w:type="pct"/>
            <w:gridSpan w:val="7"/>
          </w:tcPr>
          <w:p w14:paraId="135F5D30" w14:textId="77777777" w:rsidR="007E6FC3" w:rsidRPr="00EE5C98" w:rsidRDefault="007E6FC3" w:rsidP="007E6FC3">
            <w:pPr>
              <w:pStyle w:val="TableParagraph"/>
              <w:ind w:right="-15"/>
              <w:jc w:val="both"/>
              <w:rPr>
                <w:sz w:val="20"/>
                <w:szCs w:val="20"/>
              </w:rPr>
            </w:pPr>
            <w:r w:rsidRPr="00EE5C98">
              <w:rPr>
                <w:sz w:val="20"/>
                <w:szCs w:val="20"/>
              </w:rPr>
              <w:t xml:space="preserve">Milovančev A, </w:t>
            </w:r>
            <w:r w:rsidRPr="00EE5C98">
              <w:rPr>
                <w:b/>
                <w:sz w:val="20"/>
                <w:szCs w:val="20"/>
              </w:rPr>
              <w:t>Miljković T</w:t>
            </w:r>
            <w:r w:rsidRPr="00EE5C98">
              <w:rPr>
                <w:sz w:val="20"/>
                <w:szCs w:val="20"/>
              </w:rPr>
              <w:t xml:space="preserve">, Petrović M, Kovačević M, Ilić A, </w:t>
            </w:r>
            <w:proofErr w:type="spellStart"/>
            <w:r w:rsidRPr="00EE5C98">
              <w:rPr>
                <w:bCs/>
                <w:sz w:val="20"/>
                <w:szCs w:val="20"/>
              </w:rPr>
              <w:t>Bjelobrk</w:t>
            </w:r>
            <w:proofErr w:type="spellEnd"/>
            <w:r w:rsidRPr="00EE5C98">
              <w:rPr>
                <w:bCs/>
                <w:sz w:val="20"/>
                <w:szCs w:val="20"/>
              </w:rPr>
              <w:t xml:space="preserve"> M</w:t>
            </w:r>
            <w:r w:rsidRPr="00EE5C98">
              <w:rPr>
                <w:sz w:val="20"/>
                <w:szCs w:val="20"/>
              </w:rPr>
              <w:t xml:space="preserve">, </w:t>
            </w:r>
            <w:proofErr w:type="spellStart"/>
            <w:r w:rsidRPr="00EE5C98">
              <w:rPr>
                <w:sz w:val="20"/>
                <w:szCs w:val="20"/>
              </w:rPr>
              <w:t>Lozanov-Crvenković</w:t>
            </w:r>
            <w:proofErr w:type="spellEnd"/>
            <w:r w:rsidRPr="00EE5C98">
              <w:rPr>
                <w:sz w:val="20"/>
                <w:szCs w:val="20"/>
              </w:rPr>
              <w:t xml:space="preserve"> Z, </w:t>
            </w:r>
            <w:proofErr w:type="spellStart"/>
            <w:r w:rsidRPr="00EE5C98">
              <w:rPr>
                <w:sz w:val="20"/>
                <w:szCs w:val="20"/>
              </w:rPr>
              <w:t>Milosavljević</w:t>
            </w:r>
            <w:proofErr w:type="spellEnd"/>
            <w:r w:rsidRPr="00EE5C98">
              <w:rPr>
                <w:sz w:val="20"/>
                <w:szCs w:val="20"/>
              </w:rPr>
              <w:t xml:space="preserve"> AS, </w:t>
            </w:r>
            <w:proofErr w:type="spellStart"/>
            <w:r w:rsidRPr="00EE5C98">
              <w:rPr>
                <w:sz w:val="20"/>
                <w:szCs w:val="20"/>
              </w:rPr>
              <w:t>Tadić</w:t>
            </w:r>
            <w:proofErr w:type="spellEnd"/>
            <w:r w:rsidRPr="00EE5C98">
              <w:rPr>
                <w:sz w:val="20"/>
                <w:szCs w:val="20"/>
              </w:rPr>
              <w:t xml:space="preserve"> S, </w:t>
            </w:r>
            <w:proofErr w:type="spellStart"/>
            <w:r w:rsidRPr="00EE5C98">
              <w:rPr>
                <w:sz w:val="20"/>
                <w:szCs w:val="20"/>
              </w:rPr>
              <w:t>Bulatović</w:t>
            </w:r>
            <w:proofErr w:type="spellEnd"/>
            <w:r w:rsidRPr="00EE5C98">
              <w:rPr>
                <w:sz w:val="20"/>
                <w:szCs w:val="20"/>
              </w:rPr>
              <w:t xml:space="preserve"> T. </w:t>
            </w:r>
            <w:hyperlink r:id="rId7" w:history="1">
              <w:r w:rsidRPr="00EE5C98">
                <w:rPr>
                  <w:rStyle w:val="Hyperlink"/>
                  <w:sz w:val="20"/>
                  <w:szCs w:val="20"/>
                </w:rPr>
                <w:t>Impact of the COVID-19 Pandemic on Cardiology Emergency Department Visits</w:t>
              </w:r>
            </w:hyperlink>
            <w:r w:rsidRPr="00EE5C98">
              <w:rPr>
                <w:sz w:val="20"/>
                <w:szCs w:val="20"/>
              </w:rPr>
              <w:t xml:space="preserve">. Int Heart J. 2022 Jul 30;63(4):749-54. </w:t>
            </w:r>
            <w:proofErr w:type="spellStart"/>
            <w:r w:rsidRPr="00EE5C98">
              <w:rPr>
                <w:sz w:val="20"/>
                <w:szCs w:val="20"/>
              </w:rPr>
              <w:t>doi</w:t>
            </w:r>
            <w:proofErr w:type="spellEnd"/>
            <w:r w:rsidRPr="00EE5C98">
              <w:rPr>
                <w:sz w:val="20"/>
                <w:szCs w:val="20"/>
              </w:rPr>
              <w:t xml:space="preserve">: 10.1536/ihj.21-750. </w:t>
            </w:r>
          </w:p>
        </w:tc>
        <w:tc>
          <w:tcPr>
            <w:tcW w:w="531" w:type="pct"/>
          </w:tcPr>
          <w:p w14:paraId="4C86B136" w14:textId="77777777" w:rsidR="007E6FC3" w:rsidRPr="00EE5C98" w:rsidRDefault="007E6FC3" w:rsidP="007E6FC3">
            <w:pPr>
              <w:pStyle w:val="TableParagraph"/>
              <w:spacing w:before="8" w:line="276" w:lineRule="auto"/>
              <w:jc w:val="center"/>
              <w:rPr>
                <w:sz w:val="20"/>
                <w:szCs w:val="20"/>
              </w:rPr>
            </w:pPr>
            <w:r w:rsidRPr="00EE5C98">
              <w:rPr>
                <w:sz w:val="20"/>
                <w:szCs w:val="20"/>
              </w:rPr>
              <w:t>124/142</w:t>
            </w:r>
          </w:p>
        </w:tc>
        <w:tc>
          <w:tcPr>
            <w:tcW w:w="489" w:type="pct"/>
            <w:gridSpan w:val="2"/>
          </w:tcPr>
          <w:p w14:paraId="664935FD" w14:textId="77777777" w:rsidR="007E6FC3" w:rsidRPr="00EE5C98" w:rsidRDefault="007E6FC3" w:rsidP="007E6FC3">
            <w:pPr>
              <w:pStyle w:val="TableParagraph"/>
              <w:spacing w:before="8" w:line="276" w:lineRule="auto"/>
              <w:jc w:val="center"/>
              <w:rPr>
                <w:sz w:val="20"/>
                <w:szCs w:val="20"/>
              </w:rPr>
            </w:pPr>
            <w:r w:rsidRPr="00EE5C98">
              <w:rPr>
                <w:sz w:val="20"/>
                <w:szCs w:val="20"/>
              </w:rPr>
              <w:t>23</w:t>
            </w:r>
          </w:p>
          <w:p w14:paraId="21A90ECB" w14:textId="77777777" w:rsidR="007E6FC3" w:rsidRPr="00EE5C98" w:rsidRDefault="007E6FC3" w:rsidP="007E6FC3">
            <w:pPr>
              <w:pStyle w:val="TableParagraph"/>
              <w:spacing w:before="8" w:line="276" w:lineRule="auto"/>
              <w:jc w:val="center"/>
              <w:rPr>
                <w:sz w:val="20"/>
                <w:szCs w:val="20"/>
              </w:rPr>
            </w:pPr>
          </w:p>
        </w:tc>
        <w:tc>
          <w:tcPr>
            <w:tcW w:w="501" w:type="pct"/>
          </w:tcPr>
          <w:p w14:paraId="6DA93A17" w14:textId="77777777" w:rsidR="007E6FC3" w:rsidRPr="00EE5C98" w:rsidRDefault="007E6FC3" w:rsidP="007E6FC3">
            <w:pPr>
              <w:pStyle w:val="TableParagraph"/>
              <w:spacing w:before="8" w:line="276" w:lineRule="auto"/>
              <w:jc w:val="center"/>
              <w:rPr>
                <w:sz w:val="20"/>
                <w:szCs w:val="20"/>
              </w:rPr>
            </w:pPr>
            <w:r w:rsidRPr="00EE5C98">
              <w:rPr>
                <w:sz w:val="20"/>
                <w:szCs w:val="20"/>
              </w:rPr>
              <w:t>1.5</w:t>
            </w:r>
          </w:p>
        </w:tc>
      </w:tr>
      <w:tr w:rsidR="007E6FC3" w:rsidRPr="00A22864" w14:paraId="444EE1C3" w14:textId="77777777" w:rsidTr="00BE3700">
        <w:trPr>
          <w:trHeight w:val="227"/>
          <w:jc w:val="center"/>
        </w:trPr>
        <w:tc>
          <w:tcPr>
            <w:tcW w:w="269" w:type="pct"/>
            <w:vAlign w:val="center"/>
          </w:tcPr>
          <w:p w14:paraId="2E624E99" w14:textId="358ED943" w:rsidR="007E6FC3" w:rsidRPr="00EE5C98" w:rsidRDefault="007E6FC3" w:rsidP="007E6FC3">
            <w:pPr>
              <w:spacing w:line="276" w:lineRule="auto"/>
              <w:ind w:left="-23"/>
              <w:jc w:val="center"/>
            </w:pPr>
            <w:r w:rsidRPr="00EE5C98">
              <w:t>14.</w:t>
            </w:r>
          </w:p>
        </w:tc>
        <w:tc>
          <w:tcPr>
            <w:tcW w:w="3210" w:type="pct"/>
            <w:gridSpan w:val="7"/>
          </w:tcPr>
          <w:p w14:paraId="0C6E0AC4" w14:textId="77777777" w:rsidR="007E6FC3" w:rsidRPr="00EE5C98" w:rsidRDefault="007E6FC3" w:rsidP="007E6FC3">
            <w:pPr>
              <w:pStyle w:val="TableParagraph"/>
              <w:spacing w:line="276" w:lineRule="auto"/>
              <w:ind w:right="-15"/>
              <w:rPr>
                <w:sz w:val="20"/>
                <w:szCs w:val="20"/>
              </w:rPr>
            </w:pPr>
            <w:r w:rsidRPr="00EE5C98">
              <w:rPr>
                <w:sz w:val="20"/>
                <w:szCs w:val="20"/>
              </w:rPr>
              <w:t xml:space="preserve">Milovančev A, Petrović M, </w:t>
            </w:r>
            <w:r w:rsidRPr="00EE5C98">
              <w:rPr>
                <w:b/>
                <w:sz w:val="20"/>
                <w:szCs w:val="20"/>
              </w:rPr>
              <w:t>Miljković T</w:t>
            </w:r>
            <w:r w:rsidRPr="00EE5C98">
              <w:rPr>
                <w:sz w:val="20"/>
                <w:szCs w:val="20"/>
              </w:rPr>
              <w:t xml:space="preserve">, Ilić A, </w:t>
            </w:r>
            <w:proofErr w:type="spellStart"/>
            <w:r w:rsidRPr="00EE5C98">
              <w:rPr>
                <w:sz w:val="20"/>
                <w:szCs w:val="20"/>
              </w:rPr>
              <w:t>Mudrinić</w:t>
            </w:r>
            <w:proofErr w:type="spellEnd"/>
            <w:r w:rsidRPr="00EE5C98">
              <w:rPr>
                <w:sz w:val="20"/>
                <w:szCs w:val="20"/>
              </w:rPr>
              <w:t xml:space="preserve"> TR, Miljković A, Ivanov O, </w:t>
            </w:r>
            <w:proofErr w:type="spellStart"/>
            <w:r w:rsidRPr="00EE5C98">
              <w:rPr>
                <w:sz w:val="20"/>
                <w:szCs w:val="20"/>
              </w:rPr>
              <w:t>Tripunović</w:t>
            </w:r>
            <w:proofErr w:type="spellEnd"/>
            <w:r w:rsidRPr="00EE5C98">
              <w:rPr>
                <w:sz w:val="20"/>
                <w:szCs w:val="20"/>
              </w:rPr>
              <w:t xml:space="preserve"> J, </w:t>
            </w:r>
            <w:proofErr w:type="spellStart"/>
            <w:r w:rsidRPr="00EE5C98">
              <w:rPr>
                <w:sz w:val="20"/>
                <w:szCs w:val="20"/>
              </w:rPr>
              <w:t>Anđelic</w:t>
            </w:r>
            <w:proofErr w:type="spellEnd"/>
            <w:r w:rsidRPr="00EE5C98">
              <w:rPr>
                <w:sz w:val="20"/>
                <w:szCs w:val="20"/>
              </w:rPr>
              <w:t xml:space="preserve"> B, Bianco A, </w:t>
            </w:r>
            <w:proofErr w:type="spellStart"/>
            <w:r w:rsidRPr="00EE5C98">
              <w:rPr>
                <w:sz w:val="20"/>
                <w:szCs w:val="20"/>
              </w:rPr>
              <w:t>Drid</w:t>
            </w:r>
            <w:proofErr w:type="spellEnd"/>
            <w:r w:rsidRPr="00EE5C98">
              <w:rPr>
                <w:sz w:val="20"/>
                <w:szCs w:val="20"/>
              </w:rPr>
              <w:t xml:space="preserve"> P. </w:t>
            </w:r>
            <w:hyperlink r:id="rId8" w:history="1">
              <w:r w:rsidRPr="00EE5C98">
                <w:rPr>
                  <w:rStyle w:val="Hyperlink"/>
                  <w:sz w:val="20"/>
                  <w:szCs w:val="20"/>
                </w:rPr>
                <w:t>The elite judo female</w:t>
              </w:r>
              <w:r w:rsidRPr="00EE5C98">
                <w:rPr>
                  <w:rStyle w:val="Hyperlink"/>
                  <w:sz w:val="20"/>
                  <w:szCs w:val="20"/>
                </w:rPr>
                <w:br/>
                <w:t>athlete’s heart</w:t>
              </w:r>
            </w:hyperlink>
            <w:r w:rsidRPr="00EE5C98">
              <w:rPr>
                <w:sz w:val="20"/>
                <w:szCs w:val="20"/>
              </w:rPr>
              <w:t xml:space="preserve">. Front. Physiol. </w:t>
            </w:r>
            <w:proofErr w:type="gramStart"/>
            <w:r w:rsidRPr="00EE5C98">
              <w:rPr>
                <w:sz w:val="20"/>
                <w:szCs w:val="20"/>
              </w:rPr>
              <w:t>2022;13:990142</w:t>
            </w:r>
            <w:proofErr w:type="gramEnd"/>
            <w:r w:rsidRPr="00EE5C98">
              <w:rPr>
                <w:sz w:val="20"/>
                <w:szCs w:val="20"/>
              </w:rPr>
              <w:t xml:space="preserve">. </w:t>
            </w:r>
          </w:p>
        </w:tc>
        <w:tc>
          <w:tcPr>
            <w:tcW w:w="531" w:type="pct"/>
          </w:tcPr>
          <w:p w14:paraId="749FCA1B" w14:textId="77777777" w:rsidR="007E6FC3" w:rsidRPr="00EE5C98" w:rsidRDefault="007E6FC3" w:rsidP="007E6FC3">
            <w:pPr>
              <w:pStyle w:val="TableParagraph"/>
              <w:spacing w:before="8" w:line="276" w:lineRule="auto"/>
              <w:jc w:val="center"/>
              <w:rPr>
                <w:sz w:val="20"/>
                <w:szCs w:val="20"/>
              </w:rPr>
            </w:pPr>
            <w:r w:rsidRPr="00EE5C98">
              <w:rPr>
                <w:sz w:val="20"/>
                <w:szCs w:val="20"/>
              </w:rPr>
              <w:t>20/79</w:t>
            </w:r>
          </w:p>
          <w:p w14:paraId="311963E6" w14:textId="77777777" w:rsidR="007E6FC3" w:rsidRPr="00EE5C98" w:rsidRDefault="007E6FC3" w:rsidP="007E6FC3">
            <w:pPr>
              <w:pStyle w:val="TableParagraph"/>
              <w:spacing w:before="8" w:line="276" w:lineRule="auto"/>
              <w:jc w:val="center"/>
              <w:rPr>
                <w:sz w:val="20"/>
                <w:szCs w:val="20"/>
              </w:rPr>
            </w:pPr>
          </w:p>
          <w:p w14:paraId="361A2C39" w14:textId="77777777" w:rsidR="007E6FC3" w:rsidRPr="00EE5C98" w:rsidRDefault="007E6FC3" w:rsidP="007E6FC3">
            <w:pPr>
              <w:pStyle w:val="TableParagraph"/>
              <w:spacing w:before="8" w:line="276" w:lineRule="auto"/>
              <w:jc w:val="center"/>
              <w:rPr>
                <w:sz w:val="20"/>
                <w:szCs w:val="20"/>
              </w:rPr>
            </w:pPr>
          </w:p>
        </w:tc>
        <w:tc>
          <w:tcPr>
            <w:tcW w:w="489" w:type="pct"/>
            <w:gridSpan w:val="2"/>
          </w:tcPr>
          <w:p w14:paraId="251F4CFE" w14:textId="77777777" w:rsidR="007E6FC3" w:rsidRPr="00EE5C98" w:rsidRDefault="007E6FC3" w:rsidP="007E6FC3">
            <w:pPr>
              <w:pStyle w:val="TableParagraph"/>
              <w:spacing w:before="8" w:line="276" w:lineRule="auto"/>
              <w:jc w:val="center"/>
              <w:rPr>
                <w:sz w:val="20"/>
                <w:szCs w:val="20"/>
              </w:rPr>
            </w:pPr>
            <w:r w:rsidRPr="00EE5C98">
              <w:rPr>
                <w:sz w:val="20"/>
                <w:szCs w:val="20"/>
              </w:rPr>
              <w:t>21</w:t>
            </w:r>
          </w:p>
          <w:p w14:paraId="3CD96E49" w14:textId="77777777" w:rsidR="007E6FC3" w:rsidRPr="00EE5C98" w:rsidRDefault="007E6FC3" w:rsidP="007E6FC3">
            <w:pPr>
              <w:pStyle w:val="TableParagraph"/>
              <w:spacing w:before="8" w:line="276" w:lineRule="auto"/>
              <w:jc w:val="center"/>
              <w:rPr>
                <w:sz w:val="20"/>
                <w:szCs w:val="20"/>
              </w:rPr>
            </w:pPr>
          </w:p>
        </w:tc>
        <w:tc>
          <w:tcPr>
            <w:tcW w:w="501" w:type="pct"/>
          </w:tcPr>
          <w:p w14:paraId="7C68C154" w14:textId="77777777" w:rsidR="007E6FC3" w:rsidRPr="00EE5C98" w:rsidRDefault="007E6FC3" w:rsidP="007E6FC3">
            <w:pPr>
              <w:pStyle w:val="TableParagraph"/>
              <w:spacing w:before="8" w:line="276" w:lineRule="auto"/>
              <w:jc w:val="center"/>
              <w:rPr>
                <w:sz w:val="20"/>
                <w:szCs w:val="20"/>
              </w:rPr>
            </w:pPr>
            <w:r w:rsidRPr="00EE5C98">
              <w:rPr>
                <w:sz w:val="20"/>
                <w:szCs w:val="20"/>
              </w:rPr>
              <w:t>4.0</w:t>
            </w:r>
          </w:p>
          <w:p w14:paraId="59CDB969" w14:textId="77777777" w:rsidR="007E6FC3" w:rsidRPr="00EE5C98" w:rsidRDefault="007E6FC3" w:rsidP="007E6FC3">
            <w:pPr>
              <w:pStyle w:val="TableParagraph"/>
              <w:spacing w:before="8" w:line="276" w:lineRule="auto"/>
              <w:jc w:val="center"/>
              <w:rPr>
                <w:sz w:val="20"/>
                <w:szCs w:val="20"/>
              </w:rPr>
            </w:pPr>
          </w:p>
        </w:tc>
      </w:tr>
      <w:tr w:rsidR="007E6FC3" w:rsidRPr="00A22864" w14:paraId="4A01C9F6" w14:textId="77777777" w:rsidTr="00BE3700">
        <w:trPr>
          <w:trHeight w:val="227"/>
          <w:jc w:val="center"/>
        </w:trPr>
        <w:tc>
          <w:tcPr>
            <w:tcW w:w="269" w:type="pct"/>
            <w:vAlign w:val="center"/>
          </w:tcPr>
          <w:p w14:paraId="2137CFE8" w14:textId="3FDC8AF0" w:rsidR="007E6FC3" w:rsidRPr="00EE5C98" w:rsidRDefault="007E6FC3" w:rsidP="007E6FC3">
            <w:pPr>
              <w:spacing w:line="276" w:lineRule="auto"/>
              <w:ind w:left="-23"/>
              <w:jc w:val="center"/>
            </w:pPr>
            <w:r w:rsidRPr="00EE5C98">
              <w:t>15.</w:t>
            </w:r>
          </w:p>
        </w:tc>
        <w:tc>
          <w:tcPr>
            <w:tcW w:w="3210" w:type="pct"/>
            <w:gridSpan w:val="7"/>
          </w:tcPr>
          <w:p w14:paraId="752FB77E" w14:textId="77777777" w:rsidR="007E6FC3" w:rsidRPr="00EE5C98" w:rsidRDefault="007E6FC3" w:rsidP="007E6FC3">
            <w:pPr>
              <w:pStyle w:val="TableParagraph"/>
              <w:ind w:right="-15"/>
              <w:rPr>
                <w:b/>
                <w:sz w:val="20"/>
                <w:szCs w:val="20"/>
              </w:rPr>
            </w:pPr>
            <w:proofErr w:type="spellStart"/>
            <w:r w:rsidRPr="00EE5C98">
              <w:rPr>
                <w:sz w:val="20"/>
                <w:szCs w:val="20"/>
              </w:rPr>
              <w:t>Bjelobrk</w:t>
            </w:r>
            <w:proofErr w:type="spellEnd"/>
            <w:r w:rsidRPr="00EE5C98">
              <w:rPr>
                <w:sz w:val="20"/>
                <w:szCs w:val="20"/>
              </w:rPr>
              <w:t xml:space="preserve"> M, </w:t>
            </w:r>
            <w:r w:rsidRPr="00EE5C98">
              <w:rPr>
                <w:b/>
                <w:sz w:val="20"/>
                <w:szCs w:val="20"/>
              </w:rPr>
              <w:t xml:space="preserve">Miljković </w:t>
            </w:r>
            <w:r w:rsidRPr="00EE5C98">
              <w:rPr>
                <w:sz w:val="20"/>
                <w:szCs w:val="20"/>
              </w:rPr>
              <w:t xml:space="preserve">T, Ilić A, Milovančev A, Vulin A, Popović D, </w:t>
            </w:r>
            <w:proofErr w:type="spellStart"/>
            <w:r w:rsidRPr="00EE5C98">
              <w:rPr>
                <w:sz w:val="20"/>
                <w:szCs w:val="20"/>
              </w:rPr>
              <w:t>Dodić</w:t>
            </w:r>
            <w:proofErr w:type="spellEnd"/>
            <w:r w:rsidRPr="00EE5C98">
              <w:rPr>
                <w:sz w:val="20"/>
                <w:szCs w:val="20"/>
              </w:rPr>
              <w:t xml:space="preserve"> S. Impact of cardiac rehabilitation on left ventricular diastolic function and exercise capacity in patients treated with percutaneous coronary intervention after acute coronary event. Acta </w:t>
            </w:r>
            <w:proofErr w:type="spellStart"/>
            <w:r w:rsidRPr="00EE5C98">
              <w:rPr>
                <w:sz w:val="20"/>
                <w:szCs w:val="20"/>
              </w:rPr>
              <w:t>Cardiol</w:t>
            </w:r>
            <w:proofErr w:type="spellEnd"/>
            <w:r w:rsidRPr="00EE5C98">
              <w:rPr>
                <w:sz w:val="20"/>
                <w:szCs w:val="20"/>
              </w:rPr>
              <w:t xml:space="preserve">. 2022;77(6):506-14. </w:t>
            </w:r>
            <w:proofErr w:type="spellStart"/>
            <w:r w:rsidRPr="00EE5C98">
              <w:rPr>
                <w:sz w:val="20"/>
                <w:szCs w:val="20"/>
              </w:rPr>
              <w:t>doi</w:t>
            </w:r>
            <w:proofErr w:type="spellEnd"/>
            <w:r w:rsidRPr="00EE5C98">
              <w:rPr>
                <w:sz w:val="20"/>
                <w:szCs w:val="20"/>
              </w:rPr>
              <w:t xml:space="preserve">: 10.1080/00015385.2021. </w:t>
            </w:r>
          </w:p>
        </w:tc>
        <w:tc>
          <w:tcPr>
            <w:tcW w:w="531" w:type="pct"/>
          </w:tcPr>
          <w:p w14:paraId="429F502A" w14:textId="77777777" w:rsidR="007E6FC3" w:rsidRPr="00EE5C98" w:rsidRDefault="007E6FC3" w:rsidP="007E6FC3">
            <w:pPr>
              <w:pStyle w:val="TableParagraph"/>
              <w:spacing w:before="8" w:line="276" w:lineRule="auto"/>
              <w:jc w:val="center"/>
              <w:rPr>
                <w:sz w:val="20"/>
                <w:szCs w:val="20"/>
              </w:rPr>
            </w:pPr>
            <w:r w:rsidRPr="00EE5C98">
              <w:rPr>
                <w:sz w:val="20"/>
                <w:szCs w:val="20"/>
              </w:rPr>
              <w:t>118/142</w:t>
            </w:r>
          </w:p>
        </w:tc>
        <w:tc>
          <w:tcPr>
            <w:tcW w:w="489" w:type="pct"/>
            <w:gridSpan w:val="2"/>
          </w:tcPr>
          <w:p w14:paraId="74D32A9B" w14:textId="77777777" w:rsidR="007E6FC3" w:rsidRPr="00EE5C98" w:rsidRDefault="007E6FC3" w:rsidP="007E6FC3">
            <w:pPr>
              <w:pStyle w:val="TableParagraph"/>
              <w:spacing w:before="8" w:line="276" w:lineRule="auto"/>
              <w:jc w:val="center"/>
              <w:rPr>
                <w:sz w:val="20"/>
                <w:szCs w:val="20"/>
              </w:rPr>
            </w:pPr>
            <w:r w:rsidRPr="00EE5C98">
              <w:rPr>
                <w:sz w:val="20"/>
                <w:szCs w:val="20"/>
              </w:rPr>
              <w:t>23</w:t>
            </w:r>
          </w:p>
        </w:tc>
        <w:tc>
          <w:tcPr>
            <w:tcW w:w="501" w:type="pct"/>
          </w:tcPr>
          <w:p w14:paraId="641663DC" w14:textId="77777777" w:rsidR="007E6FC3" w:rsidRPr="00EE5C98" w:rsidRDefault="007E6FC3" w:rsidP="007E6FC3">
            <w:pPr>
              <w:pStyle w:val="TableParagraph"/>
              <w:spacing w:before="8" w:line="276" w:lineRule="auto"/>
              <w:jc w:val="center"/>
              <w:rPr>
                <w:sz w:val="20"/>
                <w:szCs w:val="20"/>
              </w:rPr>
            </w:pPr>
            <w:r w:rsidRPr="00EE5C98">
              <w:rPr>
                <w:sz w:val="20"/>
                <w:szCs w:val="20"/>
              </w:rPr>
              <w:t>1.6</w:t>
            </w:r>
          </w:p>
        </w:tc>
      </w:tr>
      <w:tr w:rsidR="007E6FC3" w:rsidRPr="00A22864" w14:paraId="457C1312" w14:textId="77777777" w:rsidTr="00BE3700">
        <w:trPr>
          <w:trHeight w:val="227"/>
          <w:jc w:val="center"/>
        </w:trPr>
        <w:tc>
          <w:tcPr>
            <w:tcW w:w="269" w:type="pct"/>
            <w:vAlign w:val="center"/>
          </w:tcPr>
          <w:p w14:paraId="41ADB071" w14:textId="27FF5806" w:rsidR="007E6FC3" w:rsidRPr="00EE5C98" w:rsidRDefault="007E6FC3" w:rsidP="007E6FC3">
            <w:pPr>
              <w:spacing w:line="276" w:lineRule="auto"/>
              <w:ind w:left="-23"/>
              <w:jc w:val="center"/>
            </w:pPr>
            <w:r w:rsidRPr="00EE5C98">
              <w:t>16.</w:t>
            </w:r>
          </w:p>
        </w:tc>
        <w:tc>
          <w:tcPr>
            <w:tcW w:w="3210" w:type="pct"/>
            <w:gridSpan w:val="7"/>
          </w:tcPr>
          <w:p w14:paraId="3F56C33B" w14:textId="77777777" w:rsidR="007E6FC3" w:rsidRPr="00EE5C98" w:rsidRDefault="007E6FC3" w:rsidP="007E6FC3">
            <w:pPr>
              <w:pStyle w:val="TableParagraph"/>
              <w:ind w:right="-15"/>
              <w:jc w:val="both"/>
              <w:rPr>
                <w:b/>
                <w:sz w:val="20"/>
                <w:szCs w:val="20"/>
              </w:rPr>
            </w:pPr>
            <w:proofErr w:type="spellStart"/>
            <w:r w:rsidRPr="00EE5C98">
              <w:rPr>
                <w:sz w:val="20"/>
                <w:szCs w:val="20"/>
              </w:rPr>
              <w:t>Puvača</w:t>
            </w:r>
            <w:proofErr w:type="spellEnd"/>
            <w:r w:rsidRPr="00EE5C98">
              <w:rPr>
                <w:sz w:val="20"/>
                <w:szCs w:val="20"/>
              </w:rPr>
              <w:t xml:space="preserve"> N, </w:t>
            </w:r>
            <w:proofErr w:type="spellStart"/>
            <w:r w:rsidRPr="00EE5C98">
              <w:rPr>
                <w:sz w:val="20"/>
                <w:szCs w:val="20"/>
              </w:rPr>
              <w:t>Milenković</w:t>
            </w:r>
            <w:proofErr w:type="spellEnd"/>
            <w:r w:rsidRPr="00EE5C98">
              <w:rPr>
                <w:sz w:val="20"/>
                <w:szCs w:val="20"/>
              </w:rPr>
              <w:t xml:space="preserve"> J, </w:t>
            </w:r>
            <w:proofErr w:type="spellStart"/>
            <w:r w:rsidRPr="00EE5C98">
              <w:rPr>
                <w:sz w:val="20"/>
                <w:szCs w:val="20"/>
              </w:rPr>
              <w:t>Galonja</w:t>
            </w:r>
            <w:proofErr w:type="spellEnd"/>
            <w:r w:rsidRPr="00EE5C98">
              <w:rPr>
                <w:sz w:val="20"/>
                <w:szCs w:val="20"/>
              </w:rPr>
              <w:t xml:space="preserve"> Coghill T, </w:t>
            </w:r>
            <w:proofErr w:type="spellStart"/>
            <w:r w:rsidRPr="00EE5C98">
              <w:rPr>
                <w:sz w:val="20"/>
                <w:szCs w:val="20"/>
              </w:rPr>
              <w:t>Bursić</w:t>
            </w:r>
            <w:proofErr w:type="spellEnd"/>
            <w:r w:rsidRPr="00EE5C98">
              <w:rPr>
                <w:sz w:val="20"/>
                <w:szCs w:val="20"/>
              </w:rPr>
              <w:t xml:space="preserve"> V, Petrović A, </w:t>
            </w:r>
            <w:proofErr w:type="spellStart"/>
            <w:r w:rsidRPr="00EE5C98">
              <w:rPr>
                <w:sz w:val="20"/>
                <w:szCs w:val="20"/>
              </w:rPr>
              <w:t>Tanasković</w:t>
            </w:r>
            <w:proofErr w:type="spellEnd"/>
            <w:r w:rsidRPr="00EE5C98">
              <w:rPr>
                <w:sz w:val="20"/>
                <w:szCs w:val="20"/>
              </w:rPr>
              <w:t xml:space="preserve"> S, </w:t>
            </w:r>
            <w:proofErr w:type="spellStart"/>
            <w:r w:rsidRPr="00EE5C98">
              <w:rPr>
                <w:sz w:val="20"/>
                <w:szCs w:val="20"/>
              </w:rPr>
              <w:t>Pelić</w:t>
            </w:r>
            <w:proofErr w:type="spellEnd"/>
            <w:r w:rsidRPr="00EE5C98">
              <w:rPr>
                <w:sz w:val="20"/>
                <w:szCs w:val="20"/>
              </w:rPr>
              <w:t xml:space="preserve"> M, </w:t>
            </w:r>
            <w:proofErr w:type="spellStart"/>
            <w:r w:rsidRPr="00EE5C98">
              <w:rPr>
                <w:sz w:val="20"/>
                <w:szCs w:val="20"/>
              </w:rPr>
              <w:t>Ljubojević</w:t>
            </w:r>
            <w:proofErr w:type="spellEnd"/>
            <w:r w:rsidRPr="00EE5C98">
              <w:rPr>
                <w:sz w:val="20"/>
                <w:szCs w:val="20"/>
              </w:rPr>
              <w:t xml:space="preserve"> </w:t>
            </w:r>
            <w:proofErr w:type="spellStart"/>
            <w:r w:rsidRPr="00EE5C98">
              <w:rPr>
                <w:sz w:val="20"/>
                <w:szCs w:val="20"/>
              </w:rPr>
              <w:t>Pelić</w:t>
            </w:r>
            <w:proofErr w:type="spellEnd"/>
            <w:r w:rsidRPr="00EE5C98">
              <w:rPr>
                <w:sz w:val="20"/>
                <w:szCs w:val="20"/>
              </w:rPr>
              <w:t xml:space="preserve"> D, </w:t>
            </w:r>
            <w:r w:rsidRPr="00EE5C98">
              <w:rPr>
                <w:b/>
                <w:sz w:val="20"/>
                <w:szCs w:val="20"/>
              </w:rPr>
              <w:t>Miljković T</w:t>
            </w:r>
            <w:r w:rsidRPr="00EE5C98">
              <w:rPr>
                <w:sz w:val="20"/>
                <w:szCs w:val="20"/>
              </w:rPr>
              <w:t xml:space="preserve">. </w:t>
            </w:r>
            <w:hyperlink r:id="rId9" w:history="1">
              <w:r w:rsidRPr="00EE5C98">
                <w:rPr>
                  <w:rStyle w:val="Hyperlink"/>
                  <w:sz w:val="20"/>
                  <w:szCs w:val="20"/>
                </w:rPr>
                <w:t>Antimicrobial Activity of Selected Essential Oils against Selected Pathogenic Bacteria: In Vitro Study</w:t>
              </w:r>
            </w:hyperlink>
            <w:r w:rsidRPr="00EE5C98">
              <w:rPr>
                <w:sz w:val="20"/>
                <w:szCs w:val="20"/>
              </w:rPr>
              <w:t xml:space="preserve">. Antibiotics (Basel). 2021 May 8;10(5):546. </w:t>
            </w:r>
            <w:proofErr w:type="spellStart"/>
            <w:r w:rsidRPr="00EE5C98">
              <w:rPr>
                <w:sz w:val="20"/>
                <w:szCs w:val="20"/>
              </w:rPr>
              <w:t>doi</w:t>
            </w:r>
            <w:proofErr w:type="spellEnd"/>
            <w:r w:rsidRPr="00EE5C98">
              <w:rPr>
                <w:sz w:val="20"/>
                <w:szCs w:val="20"/>
              </w:rPr>
              <w:t>: 10.3390/antibiotics10050546</w:t>
            </w:r>
          </w:p>
        </w:tc>
        <w:tc>
          <w:tcPr>
            <w:tcW w:w="531" w:type="pct"/>
          </w:tcPr>
          <w:p w14:paraId="7E8C82A6" w14:textId="77777777" w:rsidR="007E6FC3" w:rsidRPr="00EE5C98" w:rsidRDefault="007E6FC3" w:rsidP="007E6FC3">
            <w:pPr>
              <w:pStyle w:val="TableParagraph"/>
              <w:spacing w:before="8" w:line="276" w:lineRule="auto"/>
              <w:jc w:val="center"/>
              <w:rPr>
                <w:sz w:val="20"/>
                <w:szCs w:val="20"/>
              </w:rPr>
            </w:pPr>
            <w:r w:rsidRPr="00EE5C98">
              <w:rPr>
                <w:sz w:val="20"/>
                <w:szCs w:val="20"/>
              </w:rPr>
              <w:t>26/93</w:t>
            </w:r>
          </w:p>
          <w:p w14:paraId="6F7D20CC" w14:textId="77777777" w:rsidR="007E6FC3" w:rsidRPr="00EE5C98" w:rsidRDefault="007E6FC3" w:rsidP="007E6FC3">
            <w:pPr>
              <w:pStyle w:val="TableParagraph"/>
              <w:spacing w:before="8" w:line="276" w:lineRule="auto"/>
              <w:jc w:val="center"/>
              <w:rPr>
                <w:sz w:val="20"/>
                <w:szCs w:val="20"/>
              </w:rPr>
            </w:pPr>
            <w:r w:rsidRPr="00EE5C98">
              <w:rPr>
                <w:sz w:val="20"/>
                <w:szCs w:val="20"/>
              </w:rPr>
              <w:t>(2020)</w:t>
            </w:r>
          </w:p>
        </w:tc>
        <w:tc>
          <w:tcPr>
            <w:tcW w:w="489" w:type="pct"/>
            <w:gridSpan w:val="2"/>
          </w:tcPr>
          <w:p w14:paraId="2E60341D" w14:textId="77777777" w:rsidR="007E6FC3" w:rsidRPr="00EE5C98" w:rsidRDefault="007E6FC3" w:rsidP="007E6FC3">
            <w:pPr>
              <w:pStyle w:val="TableParagraph"/>
              <w:spacing w:before="8" w:line="276" w:lineRule="auto"/>
              <w:jc w:val="center"/>
              <w:rPr>
                <w:sz w:val="20"/>
                <w:szCs w:val="20"/>
              </w:rPr>
            </w:pPr>
            <w:r w:rsidRPr="00EE5C98">
              <w:rPr>
                <w:sz w:val="20"/>
                <w:szCs w:val="20"/>
              </w:rPr>
              <w:t>21</w:t>
            </w:r>
          </w:p>
          <w:p w14:paraId="3BBBF5B5" w14:textId="77777777" w:rsidR="007E6FC3" w:rsidRPr="00EE5C98" w:rsidRDefault="007E6FC3" w:rsidP="007E6FC3">
            <w:pPr>
              <w:pStyle w:val="TableParagraph"/>
              <w:spacing w:before="8" w:line="276" w:lineRule="auto"/>
              <w:jc w:val="center"/>
              <w:rPr>
                <w:sz w:val="20"/>
                <w:szCs w:val="20"/>
              </w:rPr>
            </w:pPr>
            <w:r w:rsidRPr="00EE5C98">
              <w:rPr>
                <w:sz w:val="20"/>
                <w:szCs w:val="20"/>
              </w:rPr>
              <w:t>(2020)</w:t>
            </w:r>
          </w:p>
        </w:tc>
        <w:tc>
          <w:tcPr>
            <w:tcW w:w="501" w:type="pct"/>
          </w:tcPr>
          <w:p w14:paraId="34CDEAEF" w14:textId="77777777" w:rsidR="007E6FC3" w:rsidRPr="00EE5C98" w:rsidRDefault="007E6FC3" w:rsidP="007E6FC3">
            <w:pPr>
              <w:pStyle w:val="TableParagraph"/>
              <w:spacing w:before="8" w:line="276" w:lineRule="auto"/>
              <w:jc w:val="center"/>
              <w:rPr>
                <w:sz w:val="20"/>
                <w:szCs w:val="20"/>
              </w:rPr>
            </w:pPr>
            <w:r w:rsidRPr="00EE5C98">
              <w:rPr>
                <w:sz w:val="20"/>
                <w:szCs w:val="20"/>
              </w:rPr>
              <w:t>4.639</w:t>
            </w:r>
          </w:p>
          <w:p w14:paraId="5ABAA5EB" w14:textId="77777777" w:rsidR="007E6FC3" w:rsidRPr="00EE5C98" w:rsidRDefault="007E6FC3" w:rsidP="007E6FC3">
            <w:pPr>
              <w:pStyle w:val="TableParagraph"/>
              <w:spacing w:before="8" w:line="276" w:lineRule="auto"/>
              <w:jc w:val="center"/>
              <w:rPr>
                <w:sz w:val="20"/>
                <w:szCs w:val="20"/>
              </w:rPr>
            </w:pPr>
            <w:r w:rsidRPr="00EE5C98">
              <w:rPr>
                <w:sz w:val="20"/>
                <w:szCs w:val="20"/>
              </w:rPr>
              <w:t>(2020)</w:t>
            </w:r>
          </w:p>
        </w:tc>
      </w:tr>
      <w:tr w:rsidR="007E6FC3" w:rsidRPr="00A22864" w14:paraId="12060246" w14:textId="77777777" w:rsidTr="00BE3700">
        <w:trPr>
          <w:trHeight w:val="227"/>
          <w:jc w:val="center"/>
        </w:trPr>
        <w:tc>
          <w:tcPr>
            <w:tcW w:w="269" w:type="pct"/>
            <w:vAlign w:val="center"/>
          </w:tcPr>
          <w:p w14:paraId="43F46631" w14:textId="0D2E676C" w:rsidR="007E6FC3" w:rsidRPr="00EE5C98" w:rsidRDefault="007E6FC3" w:rsidP="007E6FC3">
            <w:pPr>
              <w:spacing w:line="276" w:lineRule="auto"/>
              <w:ind w:left="-23"/>
              <w:jc w:val="center"/>
            </w:pPr>
            <w:r w:rsidRPr="00EE5C98">
              <w:t>17.</w:t>
            </w:r>
          </w:p>
        </w:tc>
        <w:tc>
          <w:tcPr>
            <w:tcW w:w="3210" w:type="pct"/>
            <w:gridSpan w:val="7"/>
          </w:tcPr>
          <w:p w14:paraId="120138AD" w14:textId="77777777" w:rsidR="007E6FC3" w:rsidRPr="00EE5C98" w:rsidRDefault="007E6FC3" w:rsidP="007E6FC3">
            <w:pPr>
              <w:shd w:val="clear" w:color="auto" w:fill="FFFFFF"/>
              <w:spacing w:before="100" w:beforeAutospacing="1" w:after="120"/>
              <w:jc w:val="both"/>
            </w:pPr>
            <w:r w:rsidRPr="00EE5C98">
              <w:rPr>
                <w:bCs/>
              </w:rPr>
              <w:t xml:space="preserve">Stojšić-Milosavljević A, Ilić A, Stojšić S, Ivanović V, Milićević J, Kovač R, Stefanović M, Tadić S, </w:t>
            </w:r>
            <w:r w:rsidRPr="00EE5C98">
              <w:rPr>
                <w:b/>
                <w:bCs/>
              </w:rPr>
              <w:t xml:space="preserve">Miljković T, </w:t>
            </w:r>
            <w:r w:rsidRPr="00EE5C98">
              <w:rPr>
                <w:bCs/>
              </w:rPr>
              <w:t xml:space="preserve">Bjelobrk M, Dabović D, Živkov-Šaponja D, Petrović M, Redžek A. </w:t>
            </w:r>
            <w:r w:rsidRPr="00EE5C98">
              <w:fldChar w:fldCharType="begin"/>
            </w:r>
            <w:r w:rsidRPr="00EE5C98">
              <w:instrText xml:space="preserve"> HYPERLINK "http://www.doiserbia.nb.rs/img/doi/0042-8450/2021/0042-84502000020S.pdf" </w:instrText>
            </w:r>
            <w:r w:rsidRPr="00EE5C98">
              <w:fldChar w:fldCharType="separate"/>
            </w:r>
            <w:r w:rsidRPr="00EE5C98">
              <w:rPr>
                <w:rStyle w:val="Hyperlink"/>
                <w:bCs/>
              </w:rPr>
              <w:t>The use of transpulmonary contrast echo-</w:t>
            </w:r>
            <w:r w:rsidRPr="00EE5C98">
              <w:rPr>
                <w:rStyle w:val="Hyperlink"/>
                <w:bCs/>
              </w:rPr>
              <w:lastRenderedPageBreak/>
              <w:t>first experience in Serbia</w:t>
            </w:r>
            <w:r w:rsidRPr="00EE5C98">
              <w:rPr>
                <w:rStyle w:val="Hyperlink"/>
                <w:bCs/>
              </w:rPr>
              <w:fldChar w:fldCharType="end"/>
            </w:r>
            <w:r w:rsidRPr="00EE5C98">
              <w:rPr>
                <w:bCs/>
              </w:rPr>
              <w:t xml:space="preserve">. </w:t>
            </w:r>
            <w:r w:rsidRPr="00EE5C98">
              <w:rPr>
                <w:rStyle w:val="markedcontent"/>
              </w:rPr>
              <w:t>Vojnosanit Pregl. 2021;78(10):1036-45.</w:t>
            </w:r>
          </w:p>
        </w:tc>
        <w:tc>
          <w:tcPr>
            <w:tcW w:w="531" w:type="pct"/>
          </w:tcPr>
          <w:p w14:paraId="53E7F447" w14:textId="77777777" w:rsidR="007E6FC3" w:rsidRPr="00EE5C98" w:rsidRDefault="007E6FC3" w:rsidP="007E6FC3">
            <w:pPr>
              <w:pStyle w:val="TableParagraph"/>
              <w:spacing w:before="8" w:line="276" w:lineRule="auto"/>
              <w:jc w:val="center"/>
              <w:rPr>
                <w:sz w:val="20"/>
                <w:szCs w:val="20"/>
              </w:rPr>
            </w:pPr>
            <w:r w:rsidRPr="00EE5C98">
              <w:rPr>
                <w:sz w:val="20"/>
                <w:szCs w:val="20"/>
              </w:rPr>
              <w:lastRenderedPageBreak/>
              <w:t>168/172</w:t>
            </w:r>
          </w:p>
        </w:tc>
        <w:tc>
          <w:tcPr>
            <w:tcW w:w="489" w:type="pct"/>
            <w:gridSpan w:val="2"/>
          </w:tcPr>
          <w:p w14:paraId="049320D0" w14:textId="77777777" w:rsidR="007E6FC3" w:rsidRPr="00EE5C98" w:rsidRDefault="007E6FC3" w:rsidP="007E6FC3">
            <w:pPr>
              <w:pStyle w:val="TableParagraph"/>
              <w:spacing w:before="8" w:line="276" w:lineRule="auto"/>
              <w:jc w:val="center"/>
              <w:rPr>
                <w:sz w:val="20"/>
                <w:szCs w:val="20"/>
              </w:rPr>
            </w:pPr>
            <w:r w:rsidRPr="00EE5C98">
              <w:rPr>
                <w:sz w:val="20"/>
                <w:szCs w:val="20"/>
              </w:rPr>
              <w:t>23</w:t>
            </w:r>
          </w:p>
        </w:tc>
        <w:tc>
          <w:tcPr>
            <w:tcW w:w="501" w:type="pct"/>
          </w:tcPr>
          <w:p w14:paraId="1B5E76F3" w14:textId="77777777" w:rsidR="007E6FC3" w:rsidRPr="00EE5C98" w:rsidRDefault="007E6FC3" w:rsidP="007E6FC3">
            <w:pPr>
              <w:pStyle w:val="TableParagraph"/>
              <w:spacing w:before="8" w:line="276" w:lineRule="auto"/>
              <w:jc w:val="center"/>
              <w:rPr>
                <w:sz w:val="20"/>
                <w:szCs w:val="20"/>
              </w:rPr>
            </w:pPr>
            <w:r w:rsidRPr="00EE5C98">
              <w:rPr>
                <w:sz w:val="20"/>
                <w:szCs w:val="20"/>
              </w:rPr>
              <w:t>0.245</w:t>
            </w:r>
          </w:p>
        </w:tc>
      </w:tr>
      <w:tr w:rsidR="007E6FC3" w:rsidRPr="00A22864" w14:paraId="248E2593" w14:textId="77777777" w:rsidTr="00BE3700">
        <w:trPr>
          <w:trHeight w:val="227"/>
          <w:jc w:val="center"/>
        </w:trPr>
        <w:tc>
          <w:tcPr>
            <w:tcW w:w="269" w:type="pct"/>
            <w:vAlign w:val="center"/>
          </w:tcPr>
          <w:p w14:paraId="0B92018A" w14:textId="3438BEF1" w:rsidR="007E6FC3" w:rsidRPr="00EE5C98" w:rsidRDefault="007E6FC3" w:rsidP="007E6FC3">
            <w:pPr>
              <w:spacing w:line="276" w:lineRule="auto"/>
              <w:ind w:left="-23"/>
              <w:jc w:val="center"/>
            </w:pPr>
            <w:r w:rsidRPr="00EE5C98">
              <w:t>18.</w:t>
            </w:r>
          </w:p>
        </w:tc>
        <w:tc>
          <w:tcPr>
            <w:tcW w:w="3210" w:type="pct"/>
            <w:gridSpan w:val="7"/>
          </w:tcPr>
          <w:p w14:paraId="7B51B0E5" w14:textId="77777777" w:rsidR="007E6FC3" w:rsidRPr="00EE5C98" w:rsidRDefault="007E6FC3" w:rsidP="007E6FC3">
            <w:pPr>
              <w:pStyle w:val="Heading1"/>
              <w:shd w:val="clear" w:color="auto" w:fill="FCFCFC"/>
              <w:spacing w:before="0" w:beforeAutospacing="0" w:after="0" w:afterAutospacing="0"/>
              <w:rPr>
                <w:b w:val="0"/>
                <w:bCs w:val="0"/>
                <w:sz w:val="20"/>
                <w:szCs w:val="20"/>
              </w:rPr>
            </w:pPr>
            <w:r w:rsidRPr="00EE5C98">
              <w:rPr>
                <w:b w:val="0"/>
                <w:sz w:val="20"/>
                <w:szCs w:val="20"/>
              </w:rPr>
              <w:t xml:space="preserve">Petrović M, Milovančev A, Kovačević M, </w:t>
            </w:r>
            <w:r w:rsidRPr="00EE5C98">
              <w:rPr>
                <w:sz w:val="20"/>
                <w:szCs w:val="20"/>
              </w:rPr>
              <w:t>Miljković T</w:t>
            </w:r>
            <w:r w:rsidRPr="00EE5C98">
              <w:rPr>
                <w:b w:val="0"/>
                <w:sz w:val="20"/>
                <w:szCs w:val="20"/>
              </w:rPr>
              <w:t xml:space="preserve">, Ilić A, Stojšić-Milosavljević A, Golubović M. </w:t>
            </w:r>
            <w:r w:rsidRPr="00EE5C98">
              <w:rPr>
                <w:sz w:val="20"/>
                <w:szCs w:val="20"/>
              </w:rPr>
              <w:fldChar w:fldCharType="begin"/>
            </w:r>
            <w:r w:rsidRPr="00EE5C98">
              <w:rPr>
                <w:sz w:val="20"/>
                <w:szCs w:val="20"/>
              </w:rPr>
              <w:instrText xml:space="preserve"> HYPERLINK "https://link.springer.com/article/10.1007/s12471-021-01554-x" </w:instrText>
            </w:r>
            <w:r w:rsidRPr="00EE5C98">
              <w:rPr>
                <w:sz w:val="20"/>
                <w:szCs w:val="20"/>
              </w:rPr>
              <w:fldChar w:fldCharType="separate"/>
            </w:r>
            <w:r w:rsidRPr="00EE5C98">
              <w:rPr>
                <w:rStyle w:val="Hyperlink"/>
                <w:b w:val="0"/>
                <w:sz w:val="20"/>
                <w:szCs w:val="20"/>
              </w:rPr>
              <w:t>Impact of COVID-19 outbreak on hospital admissions and outcome of acute coronary syndromes in a single high-volume centre in southeastern Europe</w:t>
            </w:r>
            <w:r w:rsidRPr="00EE5C98">
              <w:rPr>
                <w:rStyle w:val="Hyperlink"/>
                <w:b w:val="0"/>
                <w:sz w:val="20"/>
                <w:szCs w:val="20"/>
              </w:rPr>
              <w:fldChar w:fldCharType="end"/>
            </w:r>
            <w:r w:rsidRPr="00EE5C98">
              <w:rPr>
                <w:b w:val="0"/>
                <w:sz w:val="20"/>
                <w:szCs w:val="20"/>
              </w:rPr>
              <w:t xml:space="preserve">. Neth Heart J. 2021 Apr;29(4):230-236. </w:t>
            </w:r>
          </w:p>
        </w:tc>
        <w:tc>
          <w:tcPr>
            <w:tcW w:w="531" w:type="pct"/>
          </w:tcPr>
          <w:p w14:paraId="07FC3004" w14:textId="77777777" w:rsidR="007E6FC3" w:rsidRPr="00EE5C98" w:rsidRDefault="007E6FC3" w:rsidP="007E6FC3">
            <w:pPr>
              <w:pStyle w:val="TableParagraph"/>
              <w:spacing w:before="8" w:line="276" w:lineRule="auto"/>
              <w:jc w:val="center"/>
              <w:rPr>
                <w:sz w:val="20"/>
                <w:szCs w:val="20"/>
              </w:rPr>
            </w:pPr>
            <w:r w:rsidRPr="00EE5C98">
              <w:rPr>
                <w:sz w:val="20"/>
                <w:szCs w:val="20"/>
              </w:rPr>
              <w:t>88/143</w:t>
            </w:r>
          </w:p>
        </w:tc>
        <w:tc>
          <w:tcPr>
            <w:tcW w:w="489" w:type="pct"/>
            <w:gridSpan w:val="2"/>
          </w:tcPr>
          <w:p w14:paraId="70CAAF70" w14:textId="77777777" w:rsidR="007E6FC3" w:rsidRPr="00EE5C98" w:rsidRDefault="007E6FC3" w:rsidP="007E6FC3">
            <w:pPr>
              <w:pStyle w:val="TableParagraph"/>
              <w:spacing w:before="8" w:line="276" w:lineRule="auto"/>
              <w:jc w:val="center"/>
              <w:rPr>
                <w:sz w:val="20"/>
                <w:szCs w:val="20"/>
              </w:rPr>
            </w:pPr>
            <w:r w:rsidRPr="00EE5C98">
              <w:rPr>
                <w:sz w:val="20"/>
                <w:szCs w:val="20"/>
              </w:rPr>
              <w:t>23</w:t>
            </w:r>
          </w:p>
        </w:tc>
        <w:tc>
          <w:tcPr>
            <w:tcW w:w="501" w:type="pct"/>
          </w:tcPr>
          <w:p w14:paraId="2AB95F6A" w14:textId="77777777" w:rsidR="007E6FC3" w:rsidRPr="00EE5C98" w:rsidRDefault="007E6FC3" w:rsidP="007E6FC3">
            <w:pPr>
              <w:pStyle w:val="TableParagraph"/>
              <w:spacing w:before="8" w:line="276" w:lineRule="auto"/>
              <w:jc w:val="center"/>
              <w:rPr>
                <w:sz w:val="20"/>
                <w:szCs w:val="20"/>
              </w:rPr>
            </w:pPr>
            <w:r w:rsidRPr="00EE5C98">
              <w:rPr>
                <w:sz w:val="20"/>
                <w:szCs w:val="20"/>
              </w:rPr>
              <w:t>2.854</w:t>
            </w:r>
          </w:p>
        </w:tc>
      </w:tr>
      <w:tr w:rsidR="007E6FC3" w:rsidRPr="00A22864" w14:paraId="45D6A302" w14:textId="77777777" w:rsidTr="00BE3700">
        <w:trPr>
          <w:trHeight w:val="227"/>
          <w:jc w:val="center"/>
        </w:trPr>
        <w:tc>
          <w:tcPr>
            <w:tcW w:w="269" w:type="pct"/>
            <w:vAlign w:val="center"/>
          </w:tcPr>
          <w:p w14:paraId="7C44377D" w14:textId="68542C22" w:rsidR="007E6FC3" w:rsidRPr="00EE5C98" w:rsidRDefault="007E6FC3" w:rsidP="007E6FC3">
            <w:pPr>
              <w:spacing w:line="276" w:lineRule="auto"/>
              <w:ind w:left="-23"/>
              <w:jc w:val="center"/>
            </w:pPr>
            <w:r w:rsidRPr="00EE5C98">
              <w:t>19.</w:t>
            </w:r>
          </w:p>
        </w:tc>
        <w:tc>
          <w:tcPr>
            <w:tcW w:w="3210" w:type="pct"/>
            <w:gridSpan w:val="7"/>
          </w:tcPr>
          <w:p w14:paraId="6011B45D" w14:textId="77777777" w:rsidR="007E6FC3" w:rsidRPr="00EE5C98" w:rsidRDefault="007E6FC3" w:rsidP="007E6FC3">
            <w:pPr>
              <w:jc w:val="both"/>
            </w:pPr>
            <w:r w:rsidRPr="00EE5C98">
              <w:rPr>
                <w:b/>
              </w:rPr>
              <w:t>Miljković T</w:t>
            </w:r>
            <w:r w:rsidRPr="00EE5C98">
              <w:t xml:space="preserve">, Milovančev A, Bjelobrk M, Šarošković B, Lakićević N, Mikić M, Drid P. </w:t>
            </w:r>
            <w:hyperlink r:id="rId10" w:history="1">
              <w:r w:rsidRPr="00EE5C98">
                <w:rPr>
                  <w:rStyle w:val="Hyperlink"/>
                </w:rPr>
                <w:t>Comparison of different pre-participation electrocardiogram screening criteria in athletes-is gender important</w:t>
              </w:r>
            </w:hyperlink>
            <w:r w:rsidRPr="00EE5C98">
              <w:t>? Acta Medica Mediterr. 2020;36(4): 2299-2306.</w:t>
            </w:r>
          </w:p>
        </w:tc>
        <w:tc>
          <w:tcPr>
            <w:tcW w:w="531" w:type="pct"/>
          </w:tcPr>
          <w:p w14:paraId="22413AAA" w14:textId="77777777" w:rsidR="007E6FC3" w:rsidRPr="00EE5C98" w:rsidRDefault="007E6FC3" w:rsidP="007E6FC3">
            <w:pPr>
              <w:pStyle w:val="TableParagraph"/>
              <w:spacing w:before="8" w:line="276" w:lineRule="auto"/>
              <w:jc w:val="center"/>
              <w:rPr>
                <w:sz w:val="20"/>
                <w:szCs w:val="20"/>
              </w:rPr>
            </w:pPr>
            <w:r w:rsidRPr="00EE5C98">
              <w:rPr>
                <w:sz w:val="20"/>
                <w:szCs w:val="20"/>
              </w:rPr>
              <w:t>162/169</w:t>
            </w:r>
          </w:p>
        </w:tc>
        <w:tc>
          <w:tcPr>
            <w:tcW w:w="489" w:type="pct"/>
            <w:gridSpan w:val="2"/>
          </w:tcPr>
          <w:p w14:paraId="3B744E4B" w14:textId="77777777" w:rsidR="007E6FC3" w:rsidRPr="00EE5C98" w:rsidRDefault="007E6FC3" w:rsidP="007E6FC3">
            <w:pPr>
              <w:pStyle w:val="TableParagraph"/>
              <w:spacing w:before="8" w:line="276" w:lineRule="auto"/>
              <w:jc w:val="center"/>
              <w:rPr>
                <w:sz w:val="20"/>
                <w:szCs w:val="20"/>
              </w:rPr>
            </w:pPr>
            <w:r w:rsidRPr="00EE5C98">
              <w:rPr>
                <w:sz w:val="20"/>
                <w:szCs w:val="20"/>
              </w:rPr>
              <w:t>23</w:t>
            </w:r>
          </w:p>
        </w:tc>
        <w:tc>
          <w:tcPr>
            <w:tcW w:w="501" w:type="pct"/>
          </w:tcPr>
          <w:p w14:paraId="77EC7879" w14:textId="77777777" w:rsidR="007E6FC3" w:rsidRPr="00EE5C98" w:rsidRDefault="007E6FC3" w:rsidP="007E6FC3">
            <w:pPr>
              <w:pStyle w:val="TableParagraph"/>
              <w:spacing w:before="8" w:line="276" w:lineRule="auto"/>
              <w:jc w:val="center"/>
              <w:rPr>
                <w:sz w:val="20"/>
                <w:szCs w:val="20"/>
              </w:rPr>
            </w:pPr>
            <w:r w:rsidRPr="00EE5C98">
              <w:rPr>
                <w:sz w:val="20"/>
                <w:szCs w:val="20"/>
              </w:rPr>
              <w:t>0.219</w:t>
            </w:r>
          </w:p>
        </w:tc>
      </w:tr>
      <w:tr w:rsidR="007E6FC3" w:rsidRPr="00A22864" w14:paraId="43C8039C" w14:textId="77777777" w:rsidTr="00BE3700">
        <w:trPr>
          <w:trHeight w:val="227"/>
          <w:jc w:val="center"/>
        </w:trPr>
        <w:tc>
          <w:tcPr>
            <w:tcW w:w="269" w:type="pct"/>
            <w:vAlign w:val="center"/>
          </w:tcPr>
          <w:p w14:paraId="563850AD" w14:textId="65B182DE" w:rsidR="007E6FC3" w:rsidRPr="00EE5C98" w:rsidRDefault="007E6FC3" w:rsidP="007E6FC3">
            <w:pPr>
              <w:spacing w:line="276" w:lineRule="auto"/>
              <w:ind w:left="-23"/>
              <w:jc w:val="center"/>
            </w:pPr>
            <w:r w:rsidRPr="00EE5C98">
              <w:t>20.</w:t>
            </w:r>
          </w:p>
        </w:tc>
        <w:tc>
          <w:tcPr>
            <w:tcW w:w="3210" w:type="pct"/>
            <w:gridSpan w:val="7"/>
          </w:tcPr>
          <w:p w14:paraId="497BEB97" w14:textId="77777777" w:rsidR="007E6FC3" w:rsidRPr="00EE5C98" w:rsidRDefault="007E6FC3" w:rsidP="007E6FC3">
            <w:pPr>
              <w:widowControl/>
              <w:shd w:val="clear" w:color="auto" w:fill="FFFFFF"/>
              <w:autoSpaceDE/>
              <w:autoSpaceDN/>
              <w:adjustRightInd/>
              <w:spacing w:before="100" w:beforeAutospacing="1" w:after="100" w:afterAutospacing="1"/>
              <w:jc w:val="both"/>
            </w:pPr>
            <w:r w:rsidRPr="00EE5C98">
              <w:t xml:space="preserve">Zdravković R, Redžek A, Šušak S, Tatić M, Videnović N, Majdevac S, Vujić V, Vučković J,  </w:t>
            </w:r>
            <w:r w:rsidRPr="00EE5C98">
              <w:rPr>
                <w:b/>
              </w:rPr>
              <w:t>Miljković T</w:t>
            </w:r>
            <w:r w:rsidRPr="00EE5C98">
              <w:t xml:space="preserve">, Velicki L. </w:t>
            </w:r>
            <w:r w:rsidRPr="00EE5C98">
              <w:fldChar w:fldCharType="begin"/>
            </w:r>
            <w:r w:rsidRPr="00EE5C98">
              <w:instrText xml:space="preserve"> HYPERLINK "http://www.doiserbia.nb.rs/img/doi/0370-8179/2020/0370-81792000048Z.pdf" </w:instrText>
            </w:r>
            <w:r w:rsidRPr="00EE5C98">
              <w:fldChar w:fldCharType="separate"/>
            </w:r>
            <w:r w:rsidRPr="00EE5C98">
              <w:rPr>
                <w:rStyle w:val="Hyperlink"/>
              </w:rPr>
              <w:t>In-hospital mortality predictors after surgery for Stanford type A aortic dissection – single-center five-year experience</w:t>
            </w:r>
            <w:r w:rsidRPr="00EE5C98">
              <w:rPr>
                <w:rStyle w:val="Hyperlink"/>
              </w:rPr>
              <w:fldChar w:fldCharType="end"/>
            </w:r>
            <w:r w:rsidRPr="00EE5C98">
              <w:t xml:space="preserve">. </w:t>
            </w:r>
            <w:r w:rsidRPr="00EE5C98">
              <w:rPr>
                <w:shd w:val="clear" w:color="auto" w:fill="FFFFFF"/>
              </w:rPr>
              <w:t>Srp Arh Celok Lek. 2020;148(9-10):541-7.</w:t>
            </w:r>
          </w:p>
        </w:tc>
        <w:tc>
          <w:tcPr>
            <w:tcW w:w="531" w:type="pct"/>
            <w:vAlign w:val="center"/>
          </w:tcPr>
          <w:p w14:paraId="3209EB87" w14:textId="77777777" w:rsidR="007E6FC3" w:rsidRPr="00EE5C98" w:rsidRDefault="007E6FC3" w:rsidP="007E6FC3">
            <w:pPr>
              <w:jc w:val="center"/>
            </w:pPr>
            <w:r w:rsidRPr="00EE5C98">
              <w:t>163/169</w:t>
            </w:r>
          </w:p>
          <w:p w14:paraId="419D748E" w14:textId="77777777" w:rsidR="007E6FC3" w:rsidRPr="00EE5C98" w:rsidRDefault="007E6FC3" w:rsidP="007E6FC3">
            <w:pPr>
              <w:jc w:val="center"/>
            </w:pPr>
          </w:p>
          <w:p w14:paraId="508D559C" w14:textId="77777777" w:rsidR="007E6FC3" w:rsidRPr="00EE5C98" w:rsidRDefault="007E6FC3" w:rsidP="007E6FC3">
            <w:pPr>
              <w:jc w:val="center"/>
            </w:pPr>
          </w:p>
          <w:p w14:paraId="591A1C55" w14:textId="77777777" w:rsidR="007E6FC3" w:rsidRPr="00EE5C98" w:rsidRDefault="007E6FC3" w:rsidP="007E6FC3">
            <w:pPr>
              <w:jc w:val="center"/>
            </w:pPr>
          </w:p>
        </w:tc>
        <w:tc>
          <w:tcPr>
            <w:tcW w:w="489" w:type="pct"/>
            <w:gridSpan w:val="2"/>
            <w:vAlign w:val="center"/>
          </w:tcPr>
          <w:p w14:paraId="59BDE0D6" w14:textId="77777777" w:rsidR="007E6FC3" w:rsidRPr="00EE5C98" w:rsidRDefault="007E6FC3" w:rsidP="007E6FC3">
            <w:pPr>
              <w:jc w:val="center"/>
            </w:pPr>
            <w:r w:rsidRPr="00EE5C98">
              <w:t>23</w:t>
            </w:r>
          </w:p>
          <w:p w14:paraId="64676A86" w14:textId="77777777" w:rsidR="007E6FC3" w:rsidRPr="00EE5C98" w:rsidRDefault="007E6FC3" w:rsidP="007E6FC3">
            <w:pPr>
              <w:jc w:val="center"/>
            </w:pPr>
          </w:p>
          <w:p w14:paraId="6E6E8F63" w14:textId="77777777" w:rsidR="007E6FC3" w:rsidRPr="00EE5C98" w:rsidRDefault="007E6FC3" w:rsidP="007E6FC3">
            <w:pPr>
              <w:jc w:val="center"/>
            </w:pPr>
          </w:p>
          <w:p w14:paraId="227FBAB5" w14:textId="77777777" w:rsidR="007E6FC3" w:rsidRPr="00EE5C98" w:rsidRDefault="007E6FC3" w:rsidP="007E6FC3">
            <w:pPr>
              <w:jc w:val="center"/>
            </w:pPr>
          </w:p>
        </w:tc>
        <w:tc>
          <w:tcPr>
            <w:tcW w:w="501" w:type="pct"/>
            <w:vAlign w:val="center"/>
          </w:tcPr>
          <w:p w14:paraId="192A8168" w14:textId="77777777" w:rsidR="007E6FC3" w:rsidRPr="00EE5C98" w:rsidRDefault="007E6FC3" w:rsidP="007E6FC3">
            <w:pPr>
              <w:jc w:val="center"/>
            </w:pPr>
            <w:r w:rsidRPr="00EE5C98">
              <w:t>0.207</w:t>
            </w:r>
          </w:p>
          <w:p w14:paraId="0EB3297B" w14:textId="77777777" w:rsidR="007E6FC3" w:rsidRPr="00EE5C98" w:rsidRDefault="007E6FC3" w:rsidP="007E6FC3">
            <w:pPr>
              <w:jc w:val="center"/>
            </w:pPr>
          </w:p>
          <w:p w14:paraId="0A4B1E17" w14:textId="77777777" w:rsidR="007E6FC3" w:rsidRPr="00EE5C98" w:rsidRDefault="007E6FC3" w:rsidP="007E6FC3">
            <w:pPr>
              <w:jc w:val="center"/>
            </w:pPr>
          </w:p>
          <w:p w14:paraId="7ECE19FD" w14:textId="77777777" w:rsidR="007E6FC3" w:rsidRPr="00EE5C98" w:rsidRDefault="007E6FC3" w:rsidP="007E6FC3">
            <w:pPr>
              <w:jc w:val="center"/>
            </w:pPr>
          </w:p>
        </w:tc>
      </w:tr>
      <w:tr w:rsidR="007E6FC3" w:rsidRPr="00A22864" w14:paraId="05D5D88D" w14:textId="77777777" w:rsidTr="00BE3700">
        <w:trPr>
          <w:trHeight w:val="227"/>
          <w:jc w:val="center"/>
        </w:trPr>
        <w:tc>
          <w:tcPr>
            <w:tcW w:w="269" w:type="pct"/>
            <w:vAlign w:val="center"/>
          </w:tcPr>
          <w:p w14:paraId="6B3F4585" w14:textId="3C3F44F0" w:rsidR="007E6FC3" w:rsidRPr="00EE5C98" w:rsidRDefault="007E6FC3" w:rsidP="007E6FC3">
            <w:pPr>
              <w:spacing w:line="276" w:lineRule="auto"/>
              <w:ind w:left="-23"/>
              <w:jc w:val="center"/>
            </w:pPr>
            <w:r w:rsidRPr="00EE5C98">
              <w:t>21.</w:t>
            </w:r>
          </w:p>
        </w:tc>
        <w:tc>
          <w:tcPr>
            <w:tcW w:w="3210" w:type="pct"/>
            <w:gridSpan w:val="7"/>
          </w:tcPr>
          <w:p w14:paraId="755AF4F3" w14:textId="77777777" w:rsidR="007E6FC3" w:rsidRPr="00EE5C98" w:rsidRDefault="007E6FC3" w:rsidP="007E6FC3">
            <w:pPr>
              <w:jc w:val="both"/>
              <w:rPr>
                <w:lang w:val="en-US"/>
              </w:rPr>
            </w:pPr>
            <w:r w:rsidRPr="00EE5C98">
              <w:rPr>
                <w:lang w:val="en-US"/>
              </w:rPr>
              <w:t xml:space="preserve">Andric S, </w:t>
            </w:r>
            <w:proofErr w:type="spellStart"/>
            <w:r w:rsidRPr="00EE5C98">
              <w:rPr>
                <w:lang w:val="en-US"/>
              </w:rPr>
              <w:t>Tesic</w:t>
            </w:r>
            <w:proofErr w:type="spellEnd"/>
            <w:r w:rsidRPr="00EE5C98">
              <w:rPr>
                <w:lang w:val="en-US"/>
              </w:rPr>
              <w:t xml:space="preserve"> D, </w:t>
            </w:r>
            <w:proofErr w:type="spellStart"/>
            <w:r w:rsidRPr="00EE5C98">
              <w:rPr>
                <w:lang w:val="en-US"/>
              </w:rPr>
              <w:t>Somer</w:t>
            </w:r>
            <w:proofErr w:type="spellEnd"/>
            <w:r w:rsidRPr="00EE5C98">
              <w:rPr>
                <w:lang w:val="en-US"/>
              </w:rPr>
              <w:t xml:space="preserve"> D, </w:t>
            </w:r>
            <w:proofErr w:type="spellStart"/>
            <w:r w:rsidRPr="00EE5C98">
              <w:rPr>
                <w:lang w:val="en-US"/>
              </w:rPr>
              <w:t>Srdanovic</w:t>
            </w:r>
            <w:proofErr w:type="spellEnd"/>
            <w:r w:rsidRPr="00EE5C98">
              <w:rPr>
                <w:lang w:val="en-US"/>
              </w:rPr>
              <w:t xml:space="preserve"> I, </w:t>
            </w:r>
            <w:r w:rsidRPr="00EE5C98">
              <w:rPr>
                <w:b/>
                <w:lang w:val="en-US"/>
              </w:rPr>
              <w:t>Miljkovic T</w:t>
            </w:r>
            <w:r w:rsidRPr="00EE5C98">
              <w:rPr>
                <w:lang w:val="en-US"/>
              </w:rPr>
              <w:t xml:space="preserve">, </w:t>
            </w:r>
            <w:proofErr w:type="spellStart"/>
            <w:r w:rsidRPr="00EE5C98">
              <w:rPr>
                <w:lang w:val="en-US"/>
              </w:rPr>
              <w:t>Jakovljevic</w:t>
            </w:r>
            <w:proofErr w:type="spellEnd"/>
            <w:r w:rsidRPr="00EE5C98">
              <w:rPr>
                <w:lang w:val="en-US"/>
              </w:rPr>
              <w:t xml:space="preserve"> DG, </w:t>
            </w:r>
            <w:proofErr w:type="spellStart"/>
            <w:r w:rsidRPr="00EE5C98">
              <w:rPr>
                <w:lang w:val="en-US"/>
              </w:rPr>
              <w:t>Velicki</w:t>
            </w:r>
            <w:proofErr w:type="spellEnd"/>
            <w:r w:rsidRPr="00EE5C98">
              <w:rPr>
                <w:lang w:val="en-US"/>
              </w:rPr>
              <w:t xml:space="preserve"> L. </w:t>
            </w:r>
            <w:hyperlink r:id="rId11" w:history="1">
              <w:proofErr w:type="spellStart"/>
              <w:r w:rsidRPr="00EE5C98">
                <w:rPr>
                  <w:rStyle w:val="Hyperlink"/>
                  <w:lang w:val="en-US"/>
                </w:rPr>
                <w:t>Ventriculoatrial</w:t>
              </w:r>
              <w:proofErr w:type="spellEnd"/>
              <w:r w:rsidRPr="00EE5C98">
                <w:rPr>
                  <w:rStyle w:val="Hyperlink"/>
                  <w:lang w:val="en-US"/>
                </w:rPr>
                <w:t xml:space="preserve"> synchrony induced heart failure</w:t>
              </w:r>
            </w:hyperlink>
            <w:r w:rsidRPr="00EE5C98">
              <w:rPr>
                <w:lang w:val="en-US"/>
              </w:rPr>
              <w:t>. Acta Clin Belg. 2018;73(6):439-43.</w:t>
            </w:r>
          </w:p>
        </w:tc>
        <w:tc>
          <w:tcPr>
            <w:tcW w:w="531" w:type="pct"/>
            <w:vAlign w:val="center"/>
          </w:tcPr>
          <w:p w14:paraId="3D741560" w14:textId="77777777" w:rsidR="007E6FC3" w:rsidRPr="00EE5C98" w:rsidRDefault="007E6FC3" w:rsidP="007E6FC3">
            <w:pPr>
              <w:jc w:val="center"/>
            </w:pPr>
            <w:r w:rsidRPr="00EE5C98">
              <w:t>114/160</w:t>
            </w:r>
          </w:p>
        </w:tc>
        <w:tc>
          <w:tcPr>
            <w:tcW w:w="489" w:type="pct"/>
            <w:gridSpan w:val="2"/>
            <w:vAlign w:val="center"/>
          </w:tcPr>
          <w:p w14:paraId="2964CA89" w14:textId="77777777" w:rsidR="007E6FC3" w:rsidRPr="00EE5C98" w:rsidRDefault="007E6FC3" w:rsidP="007E6FC3">
            <w:pPr>
              <w:jc w:val="center"/>
            </w:pPr>
            <w:r w:rsidRPr="00EE5C98">
              <w:t>23</w:t>
            </w:r>
          </w:p>
        </w:tc>
        <w:tc>
          <w:tcPr>
            <w:tcW w:w="501" w:type="pct"/>
            <w:vAlign w:val="center"/>
          </w:tcPr>
          <w:p w14:paraId="1ABAA843" w14:textId="77777777" w:rsidR="007E6FC3" w:rsidRPr="00EE5C98" w:rsidRDefault="007E6FC3" w:rsidP="007E6FC3">
            <w:pPr>
              <w:jc w:val="center"/>
            </w:pPr>
            <w:r w:rsidRPr="00EE5C98">
              <w:t>0.960</w:t>
            </w:r>
          </w:p>
        </w:tc>
      </w:tr>
      <w:tr w:rsidR="007E6FC3" w:rsidRPr="00A22864" w14:paraId="1A6A93A4" w14:textId="77777777" w:rsidTr="00BE3700">
        <w:trPr>
          <w:trHeight w:val="227"/>
          <w:jc w:val="center"/>
        </w:trPr>
        <w:tc>
          <w:tcPr>
            <w:tcW w:w="5000" w:type="pct"/>
            <w:gridSpan w:val="12"/>
            <w:vAlign w:val="center"/>
          </w:tcPr>
          <w:p w14:paraId="77E15443" w14:textId="77777777" w:rsidR="007E6FC3" w:rsidRPr="00A22864" w:rsidRDefault="007E6FC3" w:rsidP="007E6FC3">
            <w:pPr>
              <w:spacing w:after="60"/>
              <w:rPr>
                <w:b/>
                <w:lang w:val="sr-Cyrl-CS"/>
              </w:rPr>
            </w:pPr>
            <w:r w:rsidRPr="00A22864">
              <w:rPr>
                <w:b/>
                <w:lang w:val="sr-Cyrl-CS"/>
              </w:rPr>
              <w:t>Збирни подаци научне активност наставника</w:t>
            </w:r>
          </w:p>
        </w:tc>
      </w:tr>
      <w:tr w:rsidR="007E6FC3" w:rsidRPr="00A22864" w14:paraId="1A271773" w14:textId="77777777" w:rsidTr="00BE3700">
        <w:trPr>
          <w:trHeight w:val="227"/>
          <w:jc w:val="center"/>
        </w:trPr>
        <w:tc>
          <w:tcPr>
            <w:tcW w:w="5000" w:type="pct"/>
            <w:gridSpan w:val="12"/>
            <w:vAlign w:val="center"/>
          </w:tcPr>
          <w:p w14:paraId="05AEB374" w14:textId="77777777" w:rsidR="007E6FC3" w:rsidRPr="00A22864" w:rsidRDefault="007E6FC3" w:rsidP="007E6FC3">
            <w:pPr>
              <w:spacing w:after="60"/>
              <w:rPr>
                <w:b/>
                <w:lang w:val="sr-Cyrl-CS"/>
              </w:rPr>
            </w:pPr>
            <w:r w:rsidRPr="00A22864">
              <w:rPr>
                <w:b/>
                <w:lang w:val="sr-Cyrl-CS"/>
              </w:rPr>
              <w:t xml:space="preserve">Збирни подаци </w:t>
            </w:r>
            <w:r>
              <w:rPr>
                <w:b/>
              </w:rPr>
              <w:t xml:space="preserve">уметничке </w:t>
            </w:r>
            <w:r w:rsidRPr="00A22864">
              <w:rPr>
                <w:b/>
                <w:lang w:val="sr-Cyrl-CS"/>
              </w:rPr>
              <w:t xml:space="preserve"> активност наставника</w:t>
            </w:r>
          </w:p>
        </w:tc>
      </w:tr>
      <w:tr w:rsidR="007E6FC3" w:rsidRPr="00A22864" w14:paraId="01F49CB3" w14:textId="77777777" w:rsidTr="00BE3700">
        <w:trPr>
          <w:trHeight w:val="227"/>
          <w:jc w:val="center"/>
        </w:trPr>
        <w:tc>
          <w:tcPr>
            <w:tcW w:w="2406" w:type="pct"/>
            <w:gridSpan w:val="6"/>
            <w:vAlign w:val="center"/>
          </w:tcPr>
          <w:p w14:paraId="68BB53FE" w14:textId="77777777" w:rsidR="007E6FC3" w:rsidRPr="00A22864" w:rsidRDefault="007E6FC3" w:rsidP="007E6FC3">
            <w:pPr>
              <w:spacing w:after="60"/>
              <w:rPr>
                <w:lang w:val="sr-Cyrl-CS"/>
              </w:rPr>
            </w:pPr>
            <w:r w:rsidRPr="00A22864">
              <w:rPr>
                <w:lang w:val="sr-Cyrl-CS"/>
              </w:rPr>
              <w:t>Укупан број цитата, без аутоцитата</w:t>
            </w:r>
          </w:p>
        </w:tc>
        <w:tc>
          <w:tcPr>
            <w:tcW w:w="2594" w:type="pct"/>
            <w:gridSpan w:val="6"/>
            <w:vAlign w:val="center"/>
          </w:tcPr>
          <w:p w14:paraId="75922078" w14:textId="6791F3DA" w:rsidR="007E6FC3" w:rsidRPr="00791D3E" w:rsidRDefault="007E6FC3" w:rsidP="007E6FC3">
            <w:pPr>
              <w:spacing w:after="60"/>
              <w:rPr>
                <w:bCs/>
                <w:lang w:val="sr-Latn-RS"/>
              </w:rPr>
            </w:pPr>
            <w:r w:rsidRPr="00791D3E">
              <w:rPr>
                <w:bCs/>
                <w:lang w:val="sr-Latn-RS"/>
              </w:rPr>
              <w:t>95</w:t>
            </w:r>
          </w:p>
        </w:tc>
      </w:tr>
      <w:tr w:rsidR="007E6FC3" w:rsidRPr="00A22864" w14:paraId="08A9E9EA" w14:textId="77777777" w:rsidTr="00BE3700">
        <w:trPr>
          <w:trHeight w:val="227"/>
          <w:jc w:val="center"/>
        </w:trPr>
        <w:tc>
          <w:tcPr>
            <w:tcW w:w="2406" w:type="pct"/>
            <w:gridSpan w:val="6"/>
            <w:vAlign w:val="center"/>
          </w:tcPr>
          <w:p w14:paraId="202C314E" w14:textId="77777777" w:rsidR="007E6FC3" w:rsidRPr="00A22864" w:rsidRDefault="007E6FC3" w:rsidP="007E6FC3">
            <w:pPr>
              <w:spacing w:after="60"/>
              <w:rPr>
                <w:lang w:val="sr-Cyrl-CS"/>
              </w:rPr>
            </w:pPr>
            <w:r w:rsidRPr="00A22864">
              <w:rPr>
                <w:lang w:val="sr-Cyrl-CS"/>
              </w:rPr>
              <w:t>Укупан број радова са SCI (или SSCI) листе</w:t>
            </w:r>
          </w:p>
        </w:tc>
        <w:tc>
          <w:tcPr>
            <w:tcW w:w="2594" w:type="pct"/>
            <w:gridSpan w:val="6"/>
            <w:vAlign w:val="center"/>
          </w:tcPr>
          <w:p w14:paraId="5A6C529B" w14:textId="7801029C" w:rsidR="007E6FC3" w:rsidRPr="00791D3E" w:rsidRDefault="007E6FC3" w:rsidP="007E6FC3">
            <w:pPr>
              <w:spacing w:after="60"/>
              <w:rPr>
                <w:bCs/>
                <w:lang w:val="sr-Latn-RS"/>
              </w:rPr>
            </w:pPr>
            <w:r w:rsidRPr="00791D3E">
              <w:rPr>
                <w:bCs/>
                <w:lang w:val="sr-Latn-RS"/>
              </w:rPr>
              <w:t>2</w:t>
            </w:r>
            <w:r>
              <w:rPr>
                <w:bCs/>
                <w:lang w:val="sr-Latn-RS"/>
              </w:rPr>
              <w:t>3</w:t>
            </w:r>
          </w:p>
        </w:tc>
      </w:tr>
      <w:tr w:rsidR="007E6FC3" w:rsidRPr="00A22864" w14:paraId="03CDCA66" w14:textId="77777777" w:rsidTr="00BE3700">
        <w:trPr>
          <w:trHeight w:val="227"/>
          <w:jc w:val="center"/>
        </w:trPr>
        <w:tc>
          <w:tcPr>
            <w:tcW w:w="2406" w:type="pct"/>
            <w:gridSpan w:val="6"/>
            <w:vAlign w:val="center"/>
          </w:tcPr>
          <w:p w14:paraId="797F752B" w14:textId="77777777" w:rsidR="007E6FC3" w:rsidRPr="00A22864" w:rsidRDefault="007E6FC3" w:rsidP="007E6FC3">
            <w:pPr>
              <w:spacing w:after="60"/>
              <w:rPr>
                <w:b/>
                <w:lang w:val="sr-Cyrl-CS"/>
              </w:rPr>
            </w:pPr>
            <w:r w:rsidRPr="00A22864">
              <w:rPr>
                <w:lang w:val="sr-Cyrl-CS"/>
              </w:rPr>
              <w:t>Тренутно учешће на пројектима</w:t>
            </w:r>
          </w:p>
        </w:tc>
        <w:tc>
          <w:tcPr>
            <w:tcW w:w="1909" w:type="pct"/>
            <w:gridSpan w:val="4"/>
            <w:vAlign w:val="center"/>
          </w:tcPr>
          <w:p w14:paraId="29BEF78C" w14:textId="77777777" w:rsidR="007E6FC3" w:rsidRPr="00A22864" w:rsidRDefault="007E6FC3" w:rsidP="007E6FC3">
            <w:pPr>
              <w:spacing w:after="60"/>
              <w:rPr>
                <w:b/>
                <w:lang w:val="sr-Cyrl-CS"/>
              </w:rPr>
            </w:pPr>
            <w:r w:rsidRPr="00A22864">
              <w:rPr>
                <w:lang w:val="sr-Cyrl-CS"/>
              </w:rPr>
              <w:t>Домаћи</w:t>
            </w:r>
            <w:r>
              <w:rPr>
                <w:lang w:val="sr-Cyrl-CS"/>
              </w:rPr>
              <w:t xml:space="preserve"> </w:t>
            </w:r>
          </w:p>
        </w:tc>
        <w:tc>
          <w:tcPr>
            <w:tcW w:w="685" w:type="pct"/>
            <w:gridSpan w:val="2"/>
            <w:vAlign w:val="center"/>
          </w:tcPr>
          <w:p w14:paraId="1E2B7254" w14:textId="77777777" w:rsidR="007E6FC3" w:rsidRPr="00A22864" w:rsidRDefault="007E6FC3" w:rsidP="007E6FC3">
            <w:pPr>
              <w:spacing w:after="60"/>
              <w:rPr>
                <w:b/>
                <w:lang w:val="sr-Cyrl-CS"/>
              </w:rPr>
            </w:pPr>
            <w:r w:rsidRPr="00A22864">
              <w:rPr>
                <w:lang w:val="sr-Cyrl-CS"/>
              </w:rPr>
              <w:t>Међународни</w:t>
            </w:r>
          </w:p>
        </w:tc>
      </w:tr>
      <w:tr w:rsidR="007E6FC3" w:rsidRPr="00A22864" w14:paraId="2C15ACB8" w14:textId="77777777" w:rsidTr="00BE3700">
        <w:trPr>
          <w:trHeight w:val="227"/>
          <w:jc w:val="center"/>
        </w:trPr>
        <w:tc>
          <w:tcPr>
            <w:tcW w:w="2406" w:type="pct"/>
            <w:gridSpan w:val="6"/>
            <w:vAlign w:val="center"/>
          </w:tcPr>
          <w:p w14:paraId="08DA6248" w14:textId="77777777" w:rsidR="007E6FC3" w:rsidRPr="00A22864" w:rsidRDefault="007E6FC3" w:rsidP="007E6FC3">
            <w:pPr>
              <w:spacing w:after="60"/>
              <w:rPr>
                <w:b/>
                <w:lang w:val="sr-Cyrl-CS"/>
              </w:rPr>
            </w:pPr>
            <w:r w:rsidRPr="00A22864">
              <w:rPr>
                <w:lang w:val="sr-Cyrl-CS"/>
              </w:rPr>
              <w:t>Усавршавања</w:t>
            </w:r>
          </w:p>
        </w:tc>
        <w:tc>
          <w:tcPr>
            <w:tcW w:w="1909" w:type="pct"/>
            <w:gridSpan w:val="4"/>
            <w:vAlign w:val="center"/>
          </w:tcPr>
          <w:p w14:paraId="3CF9129D" w14:textId="77777777" w:rsidR="007E6FC3" w:rsidRPr="00621850" w:rsidRDefault="007E6FC3" w:rsidP="007E6FC3">
            <w:pPr>
              <w:spacing w:after="60"/>
              <w:jc w:val="both"/>
              <w:rPr>
                <w:bCs/>
                <w:lang w:val="sr-Cyrl-CS"/>
              </w:rPr>
            </w:pPr>
            <w:r w:rsidRPr="00621850">
              <w:rPr>
                <w:bCs/>
              </w:rPr>
              <w:t xml:space="preserve">1. </w:t>
            </w:r>
            <w:r w:rsidRPr="00621850">
              <w:rPr>
                <w:bCs/>
                <w:lang w:val="sr-Cyrl-CS"/>
              </w:rPr>
              <w:t>На основу јавног позива Министарства здравља Републике Србије за пријаву пројеката за лечења и контролу КВ болести у Републици Србији</w:t>
            </w:r>
            <w:r>
              <w:rPr>
                <w:bCs/>
                <w:lang w:val="sr-Cyrl-CS"/>
              </w:rPr>
              <w:t xml:space="preserve"> до 2020. године у периоду од 01.06.2012. до 30.06.2012</w:t>
            </w:r>
            <w:r w:rsidRPr="00621850">
              <w:rPr>
                <w:bCs/>
                <w:lang w:val="sr-Cyrl-CS"/>
              </w:rPr>
              <w:t xml:space="preserve">. године обавила је стручно усавршавање у ехокардиографској лабораторији Универзитетске клинике у Месини, Италија. </w:t>
            </w:r>
          </w:p>
          <w:p w14:paraId="3A4BDC30" w14:textId="77777777" w:rsidR="007E6FC3" w:rsidRPr="00621850" w:rsidRDefault="007E6FC3" w:rsidP="007E6FC3">
            <w:pPr>
              <w:spacing w:after="60"/>
              <w:jc w:val="both"/>
              <w:rPr>
                <w:bCs/>
                <w:lang w:val="sr-Cyrl-CS"/>
              </w:rPr>
            </w:pPr>
            <w:r>
              <w:rPr>
                <w:bCs/>
                <w:lang w:val="sr-Cyrl-CS"/>
              </w:rPr>
              <w:t>2.У периоду од 01.12.-15.12.2009</w:t>
            </w:r>
            <w:r w:rsidRPr="00621850">
              <w:rPr>
                <w:bCs/>
                <w:lang w:val="sr-Cyrl-CS"/>
              </w:rPr>
              <w:t>. године обавила је стручно усавршавање у ехокардиографској лабораторији у болници Питие- Салпетриере Париз, Француска</w:t>
            </w:r>
          </w:p>
          <w:p w14:paraId="0B4AFE66" w14:textId="77777777" w:rsidR="007E6FC3" w:rsidRPr="00621850" w:rsidRDefault="007E6FC3" w:rsidP="007E6FC3">
            <w:pPr>
              <w:spacing w:after="60"/>
              <w:jc w:val="both"/>
              <w:rPr>
                <w:bCs/>
                <w:lang w:val="sr-Cyrl-CS"/>
              </w:rPr>
            </w:pPr>
            <w:r w:rsidRPr="00621850">
              <w:rPr>
                <w:bCs/>
                <w:lang w:val="sr-Cyrl-CS"/>
              </w:rPr>
              <w:t>3.У</w:t>
            </w:r>
            <w:r>
              <w:rPr>
                <w:bCs/>
              </w:rPr>
              <w:t xml:space="preserve"> </w:t>
            </w:r>
            <w:r w:rsidRPr="00621850">
              <w:rPr>
                <w:bCs/>
                <w:lang w:val="sr-Cyrl-CS"/>
              </w:rPr>
              <w:t xml:space="preserve">оквиру реализације једног од пројеката међусобне сарадње владе Ломбардије и АП </w:t>
            </w:r>
            <w:r>
              <w:rPr>
                <w:bCs/>
                <w:lang w:val="sr-Cyrl-CS"/>
              </w:rPr>
              <w:t>Војводине, у периоду од 25.03-07</w:t>
            </w:r>
            <w:r w:rsidRPr="00621850">
              <w:rPr>
                <w:bCs/>
                <w:lang w:val="sr-Cyrl-CS"/>
              </w:rPr>
              <w:t>.04.2013. године обавила је стручно усавршавање из области ехокардиографије и кардиоваскуларне рехабилитације у Кардиваскуларном департману болнице у Леццо-у.</w:t>
            </w:r>
          </w:p>
          <w:p w14:paraId="570E442E" w14:textId="77777777" w:rsidR="007E6FC3" w:rsidRPr="00621850" w:rsidRDefault="007E6FC3" w:rsidP="007E6FC3">
            <w:pPr>
              <w:spacing w:after="60"/>
              <w:jc w:val="both"/>
              <w:rPr>
                <w:bCs/>
                <w:lang w:val="sr-Cyrl-CS"/>
              </w:rPr>
            </w:pPr>
            <w:r w:rsidRPr="00621850">
              <w:rPr>
                <w:bCs/>
                <w:lang w:val="sr-Cyrl-CS"/>
              </w:rPr>
              <w:t>4.Стручно усавршавање из области кардијалне рехабилитације и спироергометријског тестирања у периоду од 14.09.-19.09.2014. године у  Научном инстититуту за рехабилитацију у Веруну, Италија, Фондазионе Салваторе Маугери</w:t>
            </w:r>
          </w:p>
          <w:p w14:paraId="595A6A3B" w14:textId="77777777" w:rsidR="007E6FC3" w:rsidRPr="00A22864" w:rsidRDefault="007E6FC3" w:rsidP="007E6FC3">
            <w:pPr>
              <w:spacing w:after="60"/>
              <w:jc w:val="both"/>
              <w:rPr>
                <w:b/>
                <w:lang w:val="sr-Cyrl-CS"/>
              </w:rPr>
            </w:pPr>
          </w:p>
        </w:tc>
        <w:tc>
          <w:tcPr>
            <w:tcW w:w="685" w:type="pct"/>
            <w:gridSpan w:val="2"/>
            <w:vAlign w:val="center"/>
          </w:tcPr>
          <w:p w14:paraId="7CAA4B3F" w14:textId="77777777" w:rsidR="007E6FC3" w:rsidRPr="00A22864" w:rsidRDefault="007E6FC3" w:rsidP="007E6FC3">
            <w:pPr>
              <w:spacing w:after="60"/>
              <w:rPr>
                <w:b/>
                <w:lang w:val="sr-Cyrl-CS"/>
              </w:rPr>
            </w:pPr>
          </w:p>
        </w:tc>
      </w:tr>
      <w:tr w:rsidR="007E6FC3" w:rsidRPr="00A22864" w14:paraId="23435EB5" w14:textId="77777777" w:rsidTr="00BE3700">
        <w:trPr>
          <w:trHeight w:val="227"/>
          <w:jc w:val="center"/>
        </w:trPr>
        <w:tc>
          <w:tcPr>
            <w:tcW w:w="2406" w:type="pct"/>
            <w:gridSpan w:val="6"/>
            <w:vAlign w:val="center"/>
          </w:tcPr>
          <w:p w14:paraId="568FD9FF" w14:textId="77777777" w:rsidR="007E6FC3" w:rsidRPr="00A22864" w:rsidRDefault="007E6FC3" w:rsidP="007E6FC3">
            <w:pPr>
              <w:spacing w:after="60"/>
              <w:rPr>
                <w:b/>
                <w:lang w:val="sr-Cyrl-CS"/>
              </w:rPr>
            </w:pPr>
            <w:r w:rsidRPr="00A22864">
              <w:rPr>
                <w:lang w:val="sr-Cyrl-CS"/>
              </w:rPr>
              <w:t>Други подаци које сматрате релевантним</w:t>
            </w:r>
          </w:p>
        </w:tc>
        <w:tc>
          <w:tcPr>
            <w:tcW w:w="2594" w:type="pct"/>
            <w:gridSpan w:val="6"/>
            <w:vAlign w:val="center"/>
          </w:tcPr>
          <w:p w14:paraId="67AAEC98" w14:textId="77777777" w:rsidR="007E6FC3" w:rsidRPr="00A22864" w:rsidRDefault="007E6FC3" w:rsidP="007E6FC3">
            <w:pPr>
              <w:spacing w:after="60"/>
              <w:rPr>
                <w:b/>
                <w:lang w:val="sr-Cyrl-CS"/>
              </w:rPr>
            </w:pPr>
          </w:p>
        </w:tc>
      </w:tr>
    </w:tbl>
    <w:p w14:paraId="6A951746" w14:textId="77777777" w:rsidR="00505EBB" w:rsidRPr="00975A90" w:rsidRDefault="00FA083F">
      <w:pPr>
        <w:rPr>
          <w:sz w:val="16"/>
          <w:szCs w:val="16"/>
        </w:rPr>
      </w:pPr>
      <w:r w:rsidRPr="00975A90">
        <w:rPr>
          <w:sz w:val="16"/>
          <w:szCs w:val="16"/>
          <w:lang w:val="sr-Cyrl-CS"/>
        </w:rPr>
        <w:lastRenderedPageBreak/>
        <w:t>Максимална дужине не</w:t>
      </w:r>
      <w:r w:rsidRPr="00975A90">
        <w:rPr>
          <w:sz w:val="16"/>
          <w:szCs w:val="16"/>
        </w:rPr>
        <w:t xml:space="preserve"> </w:t>
      </w:r>
      <w:r w:rsidRPr="00975A90">
        <w:rPr>
          <w:sz w:val="16"/>
          <w:szCs w:val="16"/>
          <w:lang w:val="sr-Cyrl-CS"/>
        </w:rPr>
        <w:t>сме бити већа од  2 странице А4</w:t>
      </w:r>
    </w:p>
    <w:sectPr w:rsidR="00505EBB" w:rsidRPr="00975A90" w:rsidSect="00FA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81BEE"/>
    <w:multiLevelType w:val="multilevel"/>
    <w:tmpl w:val="4AB8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C3301"/>
    <w:multiLevelType w:val="hybridMultilevel"/>
    <w:tmpl w:val="3CFC1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1554D5"/>
    <w:multiLevelType w:val="hybridMultilevel"/>
    <w:tmpl w:val="3CFC1D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94424"/>
    <w:rsid w:val="000520A4"/>
    <w:rsid w:val="000C016A"/>
    <w:rsid w:val="000D352E"/>
    <w:rsid w:val="001058F2"/>
    <w:rsid w:val="001179BB"/>
    <w:rsid w:val="00130A77"/>
    <w:rsid w:val="00133352"/>
    <w:rsid w:val="001846F3"/>
    <w:rsid w:val="001E2846"/>
    <w:rsid w:val="003C53AE"/>
    <w:rsid w:val="00446270"/>
    <w:rsid w:val="00451ED1"/>
    <w:rsid w:val="00494424"/>
    <w:rsid w:val="00505EBB"/>
    <w:rsid w:val="00537B55"/>
    <w:rsid w:val="0054745F"/>
    <w:rsid w:val="00573C95"/>
    <w:rsid w:val="00621850"/>
    <w:rsid w:val="00703AA4"/>
    <w:rsid w:val="00780375"/>
    <w:rsid w:val="00791906"/>
    <w:rsid w:val="00791D3E"/>
    <w:rsid w:val="007D3417"/>
    <w:rsid w:val="007E6FC3"/>
    <w:rsid w:val="00874D0E"/>
    <w:rsid w:val="008A0762"/>
    <w:rsid w:val="00973CAD"/>
    <w:rsid w:val="00975A90"/>
    <w:rsid w:val="009C72D1"/>
    <w:rsid w:val="009E08F0"/>
    <w:rsid w:val="009E48FC"/>
    <w:rsid w:val="00AB00FC"/>
    <w:rsid w:val="00AB127B"/>
    <w:rsid w:val="00AD0145"/>
    <w:rsid w:val="00AE36D2"/>
    <w:rsid w:val="00B4654B"/>
    <w:rsid w:val="00B46B3C"/>
    <w:rsid w:val="00B55F91"/>
    <w:rsid w:val="00BE2813"/>
    <w:rsid w:val="00BE2DFF"/>
    <w:rsid w:val="00BE3700"/>
    <w:rsid w:val="00BE413A"/>
    <w:rsid w:val="00CC096C"/>
    <w:rsid w:val="00D15A4C"/>
    <w:rsid w:val="00D312BF"/>
    <w:rsid w:val="00D70099"/>
    <w:rsid w:val="00E117C7"/>
    <w:rsid w:val="00E34234"/>
    <w:rsid w:val="00EA25FB"/>
    <w:rsid w:val="00EA6F91"/>
    <w:rsid w:val="00EC2DEF"/>
    <w:rsid w:val="00EE5C98"/>
    <w:rsid w:val="00F55800"/>
    <w:rsid w:val="00FA083F"/>
    <w:rsid w:val="00FA753F"/>
    <w:rsid w:val="00FB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A95A"/>
  <w15:docId w15:val="{6D6DBF89-0265-454A-8968-4BE28BD2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4"/>
    <w:pPr>
      <w:widowControl w:val="0"/>
      <w:autoSpaceDE w:val="0"/>
      <w:autoSpaceDN w:val="0"/>
      <w:adjustRightInd w:val="0"/>
      <w:spacing w:after="0" w:line="240" w:lineRule="auto"/>
    </w:pPr>
    <w:rPr>
      <w:rFonts w:ascii="Times New Roman" w:eastAsia="Cambria" w:hAnsi="Times New Roman" w:cs="Times New Roman"/>
      <w:sz w:val="20"/>
      <w:szCs w:val="20"/>
      <w:lang w:val="sr-Latn-CS" w:eastAsia="sr-Latn-CS"/>
    </w:rPr>
  </w:style>
  <w:style w:type="paragraph" w:styleId="Heading1">
    <w:name w:val="heading 1"/>
    <w:basedOn w:val="Normal"/>
    <w:link w:val="Heading1Char"/>
    <w:uiPriority w:val="9"/>
    <w:qFormat/>
    <w:rsid w:val="00D15A4C"/>
    <w:pPr>
      <w:widowControl/>
      <w:autoSpaceDE/>
      <w:autoSpaceDN/>
      <w:adjustRightInd/>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A083F"/>
    <w:pPr>
      <w:adjustRightInd/>
    </w:pPr>
    <w:rPr>
      <w:rFonts w:eastAsia="Times New Roman"/>
      <w:sz w:val="22"/>
      <w:szCs w:val="22"/>
      <w:lang w:val="en-US" w:eastAsia="en-US" w:bidi="en-US"/>
    </w:rPr>
  </w:style>
  <w:style w:type="paragraph" w:styleId="ListParagraph">
    <w:name w:val="List Paragraph"/>
    <w:basedOn w:val="Normal"/>
    <w:uiPriority w:val="34"/>
    <w:qFormat/>
    <w:rsid w:val="00F55800"/>
    <w:pPr>
      <w:widowControl/>
      <w:autoSpaceDE/>
      <w:autoSpaceDN/>
      <w:adjustRightInd/>
      <w:spacing w:after="200" w:line="276" w:lineRule="auto"/>
      <w:ind w:left="720"/>
      <w:contextualSpacing/>
    </w:pPr>
    <w:rPr>
      <w:rFonts w:ascii="Calibri" w:eastAsia="Calibri" w:hAnsi="Calibri" w:cs="Calibri"/>
      <w:sz w:val="22"/>
      <w:szCs w:val="22"/>
      <w:lang w:val="hr-HR" w:eastAsia="en-US"/>
    </w:rPr>
  </w:style>
  <w:style w:type="character" w:styleId="Hyperlink">
    <w:name w:val="Hyperlink"/>
    <w:basedOn w:val="DefaultParagraphFont"/>
    <w:uiPriority w:val="99"/>
    <w:unhideWhenUsed/>
    <w:rsid w:val="00F55800"/>
    <w:rPr>
      <w:color w:val="0563C1" w:themeColor="hyperlink"/>
      <w:u w:val="single"/>
    </w:rPr>
  </w:style>
  <w:style w:type="character" w:styleId="Emphasis">
    <w:name w:val="Emphasis"/>
    <w:basedOn w:val="DefaultParagraphFont"/>
    <w:uiPriority w:val="20"/>
    <w:qFormat/>
    <w:rsid w:val="00791906"/>
    <w:rPr>
      <w:i/>
      <w:iCs/>
    </w:rPr>
  </w:style>
  <w:style w:type="character" w:customStyle="1" w:styleId="authors-list-item">
    <w:name w:val="authors-list-item"/>
    <w:basedOn w:val="DefaultParagraphFont"/>
    <w:rsid w:val="00CC096C"/>
  </w:style>
  <w:style w:type="character" w:customStyle="1" w:styleId="author-sup-separator">
    <w:name w:val="author-sup-separator"/>
    <w:basedOn w:val="DefaultParagraphFont"/>
    <w:rsid w:val="00CC096C"/>
  </w:style>
  <w:style w:type="character" w:customStyle="1" w:styleId="comma">
    <w:name w:val="comma"/>
    <w:basedOn w:val="DefaultParagraphFont"/>
    <w:rsid w:val="00CC096C"/>
  </w:style>
  <w:style w:type="character" w:customStyle="1" w:styleId="period">
    <w:name w:val="period"/>
    <w:basedOn w:val="DefaultParagraphFont"/>
    <w:rsid w:val="00CC096C"/>
  </w:style>
  <w:style w:type="character" w:customStyle="1" w:styleId="cit">
    <w:name w:val="cit"/>
    <w:basedOn w:val="DefaultParagraphFont"/>
    <w:rsid w:val="00CC096C"/>
  </w:style>
  <w:style w:type="character" w:customStyle="1" w:styleId="Heading1Char">
    <w:name w:val="Heading 1 Char"/>
    <w:basedOn w:val="DefaultParagraphFont"/>
    <w:link w:val="Heading1"/>
    <w:uiPriority w:val="9"/>
    <w:rsid w:val="00D15A4C"/>
    <w:rPr>
      <w:rFonts w:ascii="Times New Roman" w:eastAsia="Times New Roman" w:hAnsi="Times New Roman" w:cs="Times New Roman"/>
      <w:b/>
      <w:bCs/>
      <w:kern w:val="36"/>
      <w:sz w:val="48"/>
      <w:szCs w:val="48"/>
    </w:rPr>
  </w:style>
  <w:style w:type="character" w:customStyle="1" w:styleId="u-visually-hidden">
    <w:name w:val="u-visually-hidden"/>
    <w:basedOn w:val="DefaultParagraphFont"/>
    <w:rsid w:val="00D15A4C"/>
  </w:style>
  <w:style w:type="paragraph" w:customStyle="1" w:styleId="Default">
    <w:name w:val="Default"/>
    <w:rsid w:val="00FB25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andard-view-style">
    <w:name w:val="standard-view-style"/>
    <w:basedOn w:val="DefaultParagraphFont"/>
    <w:rsid w:val="00451ED1"/>
  </w:style>
  <w:style w:type="character" w:customStyle="1" w:styleId="markedcontent">
    <w:name w:val="markedcontent"/>
    <w:basedOn w:val="DefaultParagraphFont"/>
    <w:rsid w:val="009C7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427922">
      <w:bodyDiv w:val="1"/>
      <w:marLeft w:val="0"/>
      <w:marRight w:val="0"/>
      <w:marTop w:val="0"/>
      <w:marBottom w:val="0"/>
      <w:divBdr>
        <w:top w:val="none" w:sz="0" w:space="0" w:color="auto"/>
        <w:left w:val="none" w:sz="0" w:space="0" w:color="auto"/>
        <w:bottom w:val="none" w:sz="0" w:space="0" w:color="auto"/>
        <w:right w:val="none" w:sz="0" w:space="0" w:color="auto"/>
      </w:divBdr>
      <w:divsChild>
        <w:div w:id="381290016">
          <w:marLeft w:val="0"/>
          <w:marRight w:val="0"/>
          <w:marTop w:val="0"/>
          <w:marBottom w:val="0"/>
          <w:divBdr>
            <w:top w:val="none" w:sz="0" w:space="0" w:color="auto"/>
            <w:left w:val="none" w:sz="0" w:space="0" w:color="auto"/>
            <w:bottom w:val="none" w:sz="0" w:space="0" w:color="auto"/>
            <w:right w:val="none" w:sz="0" w:space="0" w:color="auto"/>
          </w:divBdr>
          <w:divsChild>
            <w:div w:id="10864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orica.djokic\Downloads\fphys-13-99014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stage.jst.go.jp/article/ihj/63/4/63_21-750/_pdf/-char/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amedicamediterranea.com/archive/2023/medica-2/10191930393-6384-2023-2-51/document" TargetMode="External"/><Relationship Id="rId11" Type="http://schemas.openxmlformats.org/officeDocument/2006/relationships/hyperlink" Target="https://www.researchgate.net/publication/323341168" TargetMode="External"/><Relationship Id="rId5" Type="http://schemas.openxmlformats.org/officeDocument/2006/relationships/hyperlink" Target="https://kobson.nb.rs/nauka_u_srbiji.132.html?autor=Miljkovic%20Tatjana&amp;samoar=" TargetMode="External"/><Relationship Id="rId10" Type="http://schemas.openxmlformats.org/officeDocument/2006/relationships/hyperlink" Target="https://actamedicamediterranea.com/archive/2020/medica-4/comparison-of-different-pre-participation-electrocardiogram-screening-criteria-in-athletes-is-gender-important/document" TargetMode="External"/><Relationship Id="rId4" Type="http://schemas.openxmlformats.org/officeDocument/2006/relationships/webSettings" Target="webSettings.xml"/><Relationship Id="rId9" Type="http://schemas.openxmlformats.org/officeDocument/2006/relationships/hyperlink" Target="https://www.mdpi.com/2079-6382/10/5/5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Radmila Matić</cp:lastModifiedBy>
  <cp:revision>29</cp:revision>
  <cp:lastPrinted>2022-09-05T05:39:00Z</cp:lastPrinted>
  <dcterms:created xsi:type="dcterms:W3CDTF">2022-09-02T08:30:00Z</dcterms:created>
  <dcterms:modified xsi:type="dcterms:W3CDTF">2024-09-11T09:20:00Z</dcterms:modified>
</cp:coreProperties>
</file>