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1596"/>
        <w:gridCol w:w="946"/>
        <w:gridCol w:w="8"/>
        <w:gridCol w:w="1447"/>
        <w:gridCol w:w="1019"/>
        <w:gridCol w:w="249"/>
        <w:gridCol w:w="30"/>
        <w:gridCol w:w="1036"/>
        <w:gridCol w:w="263"/>
        <w:gridCol w:w="486"/>
        <w:gridCol w:w="894"/>
        <w:gridCol w:w="768"/>
        <w:gridCol w:w="768"/>
      </w:tblGrid>
      <w:tr w:rsidR="00494424" w:rsidRPr="00A22864" w:rsidTr="00E53419">
        <w:trPr>
          <w:trHeight w:val="227"/>
          <w:jc w:val="center"/>
        </w:trPr>
        <w:tc>
          <w:tcPr>
            <w:tcW w:w="156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39" w:type="pct"/>
            <w:gridSpan w:val="11"/>
            <w:vAlign w:val="center"/>
          </w:tcPr>
          <w:p w:rsidR="00494424" w:rsidRPr="00A22864" w:rsidRDefault="000B6AAC" w:rsidP="008E1BFA">
            <w:pPr>
              <w:spacing w:after="60"/>
              <w:rPr>
                <w:lang w:val="sr-Cyrl-CS"/>
              </w:rPr>
            </w:pPr>
            <w:hyperlink r:id="rId5" w:history="1">
              <w:r w:rsidR="003A407B" w:rsidRPr="00854905">
                <w:rPr>
                  <w:rStyle w:val="Hyperlink"/>
                  <w:lang w:val="sr-Cyrl-CS"/>
                </w:rPr>
                <w:t>Исидора Нешковић</w:t>
              </w:r>
            </w:hyperlink>
          </w:p>
        </w:tc>
      </w:tr>
      <w:tr w:rsidR="00494424" w:rsidRPr="00A22864" w:rsidTr="00E53419">
        <w:trPr>
          <w:trHeight w:val="227"/>
          <w:jc w:val="center"/>
        </w:trPr>
        <w:tc>
          <w:tcPr>
            <w:tcW w:w="156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39" w:type="pct"/>
            <w:gridSpan w:val="11"/>
            <w:vAlign w:val="center"/>
          </w:tcPr>
          <w:p w:rsidR="00494424" w:rsidRPr="00A22864" w:rsidRDefault="003A407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494424" w:rsidRPr="00A22864" w:rsidTr="00E53419">
        <w:trPr>
          <w:trHeight w:val="227"/>
          <w:jc w:val="center"/>
        </w:trPr>
        <w:tc>
          <w:tcPr>
            <w:tcW w:w="156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39" w:type="pct"/>
            <w:gridSpan w:val="11"/>
            <w:vAlign w:val="center"/>
          </w:tcPr>
          <w:p w:rsidR="00494424" w:rsidRPr="00A22864" w:rsidRDefault="003A407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Дентална медицина (Дечија и превентивна стоматологија)</w:t>
            </w:r>
          </w:p>
        </w:tc>
      </w:tr>
      <w:tr w:rsidR="00975A90" w:rsidRPr="00A22864" w:rsidTr="00E53419">
        <w:trPr>
          <w:trHeight w:val="227"/>
          <w:jc w:val="center"/>
        </w:trPr>
        <w:tc>
          <w:tcPr>
            <w:tcW w:w="1094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1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355" w:type="pct"/>
            <w:gridSpan w:val="4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080" w:type="pct"/>
            <w:gridSpan w:val="6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E53419">
        <w:trPr>
          <w:trHeight w:val="227"/>
          <w:jc w:val="center"/>
        </w:trPr>
        <w:tc>
          <w:tcPr>
            <w:tcW w:w="1094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1" w:type="pct"/>
            <w:gridSpan w:val="2"/>
            <w:vAlign w:val="center"/>
          </w:tcPr>
          <w:p w:rsidR="00494424" w:rsidRPr="00C634AA" w:rsidRDefault="00500B97" w:rsidP="008E1BFA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355" w:type="pct"/>
            <w:gridSpan w:val="4"/>
            <w:vAlign w:val="center"/>
          </w:tcPr>
          <w:p w:rsidR="00494424" w:rsidRPr="00500B97" w:rsidRDefault="00500B97" w:rsidP="008E1BFA">
            <w:pPr>
              <w:spacing w:after="60"/>
            </w:pPr>
            <w:r>
              <w:t xml:space="preserve">Медицински факултет, Универзитет у Новом Саду </w:t>
            </w:r>
          </w:p>
        </w:tc>
        <w:tc>
          <w:tcPr>
            <w:tcW w:w="2080" w:type="pct"/>
            <w:gridSpan w:val="6"/>
            <w:vAlign w:val="center"/>
          </w:tcPr>
          <w:p w:rsidR="00494424" w:rsidRPr="00A22864" w:rsidRDefault="00500B9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Дентална медицина (</w:t>
            </w:r>
            <w:r w:rsidR="007167D7">
              <w:rPr>
                <w:lang w:val="sr-Cyrl-CS"/>
              </w:rPr>
              <w:t xml:space="preserve">Дечија и превентивна </w:t>
            </w:r>
            <w:r>
              <w:rPr>
                <w:lang w:val="sr-Cyrl-CS"/>
              </w:rPr>
              <w:t xml:space="preserve"> стоматологија)</w:t>
            </w:r>
          </w:p>
        </w:tc>
      </w:tr>
      <w:tr w:rsidR="00975A90" w:rsidRPr="00A22864" w:rsidTr="00E53419">
        <w:trPr>
          <w:trHeight w:val="227"/>
          <w:jc w:val="center"/>
        </w:trPr>
        <w:tc>
          <w:tcPr>
            <w:tcW w:w="1094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1" w:type="pct"/>
            <w:gridSpan w:val="2"/>
            <w:vAlign w:val="center"/>
          </w:tcPr>
          <w:p w:rsidR="00494424" w:rsidRPr="00A22864" w:rsidRDefault="00500B9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2020</w:t>
            </w:r>
          </w:p>
        </w:tc>
        <w:tc>
          <w:tcPr>
            <w:tcW w:w="1355" w:type="pct"/>
            <w:gridSpan w:val="4"/>
            <w:vAlign w:val="center"/>
          </w:tcPr>
          <w:p w:rsidR="00494424" w:rsidRPr="00A22864" w:rsidRDefault="00500B9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080" w:type="pct"/>
            <w:gridSpan w:val="6"/>
            <w:vAlign w:val="center"/>
          </w:tcPr>
          <w:p w:rsidR="00494424" w:rsidRPr="00A22864" w:rsidRDefault="00500B9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Клиничка истраживања</w:t>
            </w:r>
          </w:p>
        </w:tc>
      </w:tr>
      <w:tr w:rsidR="00975A90" w:rsidRPr="00A22864" w:rsidTr="00E53419">
        <w:trPr>
          <w:trHeight w:val="227"/>
          <w:jc w:val="center"/>
        </w:trPr>
        <w:tc>
          <w:tcPr>
            <w:tcW w:w="1094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71" w:type="pct"/>
            <w:gridSpan w:val="2"/>
            <w:vAlign w:val="center"/>
          </w:tcPr>
          <w:p w:rsidR="00975A90" w:rsidRPr="00A22864" w:rsidRDefault="00500B9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2019</w:t>
            </w:r>
          </w:p>
        </w:tc>
        <w:tc>
          <w:tcPr>
            <w:tcW w:w="1355" w:type="pct"/>
            <w:gridSpan w:val="4"/>
            <w:vAlign w:val="center"/>
          </w:tcPr>
          <w:p w:rsidR="00975A90" w:rsidRPr="00A22864" w:rsidRDefault="00500B97" w:rsidP="008E1BFA">
            <w:pPr>
              <w:spacing w:after="60"/>
              <w:rPr>
                <w:lang w:val="sr-Cyrl-CS"/>
              </w:rPr>
            </w:pPr>
            <w:r>
              <w:t>Медицински факултет, Универзитет у Новом Саду</w:t>
            </w:r>
          </w:p>
        </w:tc>
        <w:tc>
          <w:tcPr>
            <w:tcW w:w="2080" w:type="pct"/>
            <w:gridSpan w:val="6"/>
            <w:vAlign w:val="center"/>
          </w:tcPr>
          <w:p w:rsidR="00975A90" w:rsidRPr="00A22864" w:rsidRDefault="00500B9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Превентивна и дечија стоматологија </w:t>
            </w:r>
          </w:p>
        </w:tc>
      </w:tr>
      <w:tr w:rsidR="00975A90" w:rsidRPr="00A22864" w:rsidTr="00E53419">
        <w:trPr>
          <w:trHeight w:val="227"/>
          <w:jc w:val="center"/>
        </w:trPr>
        <w:tc>
          <w:tcPr>
            <w:tcW w:w="1094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71" w:type="pct"/>
            <w:gridSpan w:val="2"/>
            <w:vAlign w:val="center"/>
          </w:tcPr>
          <w:p w:rsidR="00494424" w:rsidRPr="00A22864" w:rsidRDefault="00500B9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2012</w:t>
            </w:r>
          </w:p>
        </w:tc>
        <w:tc>
          <w:tcPr>
            <w:tcW w:w="1355" w:type="pct"/>
            <w:gridSpan w:val="4"/>
            <w:vAlign w:val="center"/>
          </w:tcPr>
          <w:p w:rsidR="00494424" w:rsidRPr="00A22864" w:rsidRDefault="00500B97" w:rsidP="008E1BFA">
            <w:pPr>
              <w:spacing w:after="60"/>
              <w:rPr>
                <w:lang w:val="sr-Cyrl-CS"/>
              </w:rPr>
            </w:pPr>
            <w:r>
              <w:t>Медицински факултет, Универзитет у Новом Саду</w:t>
            </w:r>
          </w:p>
        </w:tc>
        <w:tc>
          <w:tcPr>
            <w:tcW w:w="2080" w:type="pct"/>
            <w:gridSpan w:val="6"/>
            <w:vAlign w:val="center"/>
          </w:tcPr>
          <w:p w:rsidR="00494424" w:rsidRPr="00A22864" w:rsidRDefault="00500B9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Интегрисане академске студије стоматологије 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72" w:type="pct"/>
            <w:gridSpan w:val="4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2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439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72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39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72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39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72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39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494" w:type="pct"/>
            <w:gridSpan w:val="10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41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79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79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E53419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E53419" w:rsidRDefault="00E53419" w:rsidP="00E53419">
            <w:pPr>
              <w:spacing w:line="276" w:lineRule="auto"/>
              <w:ind w:left="-23"/>
              <w:jc w:val="center"/>
            </w:pPr>
            <w:r>
              <w:t>1.</w:t>
            </w:r>
          </w:p>
        </w:tc>
        <w:tc>
          <w:tcPr>
            <w:tcW w:w="3494" w:type="pct"/>
            <w:gridSpan w:val="10"/>
          </w:tcPr>
          <w:p w:rsidR="00E53419" w:rsidRPr="00A021CB" w:rsidRDefault="00E53419" w:rsidP="006B0D3F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D12BA1">
              <w:rPr>
                <w:sz w:val="20"/>
                <w:szCs w:val="20"/>
              </w:rPr>
              <w:t>Vujkov</w:t>
            </w:r>
            <w:proofErr w:type="spellEnd"/>
            <w:r w:rsidRPr="00D12BA1">
              <w:rPr>
                <w:sz w:val="20"/>
                <w:szCs w:val="20"/>
              </w:rPr>
              <w:t xml:space="preserve"> S, </w:t>
            </w:r>
            <w:proofErr w:type="spellStart"/>
            <w:r w:rsidRPr="00D12BA1">
              <w:rPr>
                <w:sz w:val="20"/>
                <w:szCs w:val="20"/>
              </w:rPr>
              <w:t>Ivi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D12BA1">
              <w:rPr>
                <w:sz w:val="20"/>
                <w:szCs w:val="20"/>
              </w:rPr>
              <w:t xml:space="preserve"> S, </w:t>
            </w:r>
            <w:proofErr w:type="spellStart"/>
            <w:r w:rsidRPr="00D12BA1">
              <w:rPr>
                <w:sz w:val="20"/>
                <w:szCs w:val="20"/>
              </w:rPr>
              <w:t>Petrovi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D12BA1">
              <w:rPr>
                <w:sz w:val="20"/>
                <w:szCs w:val="20"/>
              </w:rPr>
              <w:t xml:space="preserve"> B, </w:t>
            </w:r>
            <w:proofErr w:type="spellStart"/>
            <w:r w:rsidRPr="00D12BA1">
              <w:rPr>
                <w:sz w:val="20"/>
                <w:szCs w:val="20"/>
              </w:rPr>
              <w:t>Blagojevi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D12BA1">
              <w:rPr>
                <w:sz w:val="20"/>
                <w:szCs w:val="20"/>
              </w:rPr>
              <w:t xml:space="preserve"> D, </w:t>
            </w:r>
            <w:proofErr w:type="spellStart"/>
            <w:r w:rsidRPr="00D12BA1">
              <w:rPr>
                <w:b/>
                <w:bCs/>
                <w:sz w:val="20"/>
                <w:szCs w:val="20"/>
              </w:rPr>
              <w:t>Neskovi</w:t>
            </w:r>
            <w:r w:rsidR="006B0D3F">
              <w:rPr>
                <w:b/>
                <w:bCs/>
                <w:sz w:val="20"/>
                <w:szCs w:val="20"/>
              </w:rPr>
              <w:t>ć</w:t>
            </w:r>
            <w:proofErr w:type="spellEnd"/>
            <w:r w:rsidRPr="00D12BA1">
              <w:rPr>
                <w:b/>
                <w:bCs/>
                <w:sz w:val="20"/>
                <w:szCs w:val="20"/>
              </w:rPr>
              <w:t xml:space="preserve"> I</w:t>
            </w:r>
            <w:r w:rsidRPr="00D12BA1">
              <w:rPr>
                <w:sz w:val="20"/>
                <w:szCs w:val="20"/>
              </w:rPr>
              <w:t xml:space="preserve">, </w:t>
            </w:r>
            <w:proofErr w:type="spellStart"/>
            <w:r w:rsidRPr="00D12BA1">
              <w:rPr>
                <w:sz w:val="20"/>
                <w:szCs w:val="20"/>
              </w:rPr>
              <w:t>Tadi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D12BA1">
              <w:rPr>
                <w:sz w:val="20"/>
                <w:szCs w:val="20"/>
              </w:rPr>
              <w:t xml:space="preserve"> A, </w:t>
            </w:r>
            <w:r w:rsidR="006B0D3F">
              <w:rPr>
                <w:sz w:val="20"/>
                <w:szCs w:val="20"/>
              </w:rPr>
              <w:t>et al</w:t>
            </w:r>
            <w:r w:rsidRPr="00D12BA1">
              <w:rPr>
                <w:sz w:val="20"/>
                <w:szCs w:val="20"/>
              </w:rPr>
              <w:t xml:space="preserve">. Long-Term Outcomes of Maxillary Alveolar Process Trauma and Primary Incisor Injury in Early Childhood: A Case Report. J </w:t>
            </w:r>
            <w:proofErr w:type="spellStart"/>
            <w:r w:rsidRPr="00D12BA1">
              <w:rPr>
                <w:sz w:val="20"/>
                <w:szCs w:val="20"/>
              </w:rPr>
              <w:t>Clin</w:t>
            </w:r>
            <w:proofErr w:type="spellEnd"/>
            <w:r w:rsidRPr="00D12BA1">
              <w:rPr>
                <w:sz w:val="20"/>
                <w:szCs w:val="20"/>
              </w:rPr>
              <w:t xml:space="preserve"> Med. 2025 May 8</w:t>
            </w:r>
            <w:proofErr w:type="gramStart"/>
            <w:r w:rsidRPr="00D12BA1">
              <w:rPr>
                <w:sz w:val="20"/>
                <w:szCs w:val="20"/>
              </w:rPr>
              <w:t>;14</w:t>
            </w:r>
            <w:proofErr w:type="gramEnd"/>
            <w:r w:rsidRPr="00D12BA1">
              <w:rPr>
                <w:sz w:val="20"/>
                <w:szCs w:val="20"/>
              </w:rPr>
              <w:t>(10):3275.</w:t>
            </w:r>
          </w:p>
        </w:tc>
        <w:tc>
          <w:tcPr>
            <w:tcW w:w="441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12BA1">
              <w:rPr>
                <w:sz w:val="20"/>
                <w:szCs w:val="20"/>
              </w:rPr>
              <w:t>4.1</w:t>
            </w:r>
          </w:p>
        </w:tc>
      </w:tr>
      <w:tr w:rsidR="00E53419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E53419" w:rsidRDefault="00E53419" w:rsidP="00E53419">
            <w:pPr>
              <w:spacing w:line="276" w:lineRule="auto"/>
              <w:ind w:left="-23"/>
              <w:jc w:val="center"/>
            </w:pPr>
            <w:r>
              <w:rPr>
                <w:lang w:val="en-US"/>
              </w:rPr>
              <w:t>2.</w:t>
            </w:r>
          </w:p>
        </w:tc>
        <w:tc>
          <w:tcPr>
            <w:tcW w:w="3494" w:type="pct"/>
            <w:gridSpan w:val="10"/>
          </w:tcPr>
          <w:p w:rsidR="00E53419" w:rsidRPr="00ED7501" w:rsidRDefault="00E53419" w:rsidP="006B0D3F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A021CB">
              <w:rPr>
                <w:sz w:val="20"/>
                <w:szCs w:val="20"/>
              </w:rPr>
              <w:t>Pavlovi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A021CB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021CB">
              <w:rPr>
                <w:sz w:val="20"/>
                <w:szCs w:val="20"/>
              </w:rPr>
              <w:t>Petrovi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A021CB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021CB">
              <w:rPr>
                <w:sz w:val="20"/>
                <w:szCs w:val="20"/>
              </w:rPr>
              <w:t>Koji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A021CB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021CB">
              <w:rPr>
                <w:b/>
                <w:bCs/>
                <w:sz w:val="20"/>
                <w:szCs w:val="20"/>
              </w:rPr>
              <w:t>Ne</w:t>
            </w:r>
            <w:r w:rsidR="006B0D3F">
              <w:rPr>
                <w:b/>
                <w:bCs/>
                <w:sz w:val="20"/>
                <w:szCs w:val="20"/>
              </w:rPr>
              <w:t>š</w:t>
            </w:r>
            <w:r w:rsidRPr="00A021CB">
              <w:rPr>
                <w:b/>
                <w:bCs/>
                <w:sz w:val="20"/>
                <w:szCs w:val="20"/>
              </w:rPr>
              <w:t>kovi</w:t>
            </w:r>
            <w:r w:rsidR="006B0D3F">
              <w:rPr>
                <w:b/>
                <w:bCs/>
                <w:sz w:val="20"/>
                <w:szCs w:val="20"/>
              </w:rPr>
              <w:t>ć</w:t>
            </w:r>
            <w:proofErr w:type="spellEnd"/>
            <w:r w:rsidRPr="00A021CB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021CB">
              <w:rPr>
                <w:sz w:val="20"/>
                <w:szCs w:val="20"/>
              </w:rPr>
              <w:t>Tadi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A021CB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021CB">
              <w:rPr>
                <w:sz w:val="20"/>
                <w:szCs w:val="20"/>
              </w:rPr>
              <w:t>Krstono</w:t>
            </w:r>
            <w:r w:rsidR="006B0D3F">
              <w:rPr>
                <w:sz w:val="20"/>
                <w:szCs w:val="20"/>
              </w:rPr>
              <w:t>š</w:t>
            </w:r>
            <w:r w:rsidRPr="00A021CB">
              <w:rPr>
                <w:sz w:val="20"/>
                <w:szCs w:val="20"/>
              </w:rPr>
              <w:t>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A021CB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 xml:space="preserve">, </w:t>
            </w:r>
            <w:r w:rsidR="006B0D3F">
              <w:rPr>
                <w:sz w:val="20"/>
                <w:szCs w:val="20"/>
              </w:rPr>
              <w:t>et al</w:t>
            </w:r>
            <w:r>
              <w:rPr>
                <w:sz w:val="20"/>
                <w:szCs w:val="20"/>
              </w:rPr>
              <w:t xml:space="preserve">. </w:t>
            </w:r>
            <w:r w:rsidRPr="00A021CB">
              <w:rPr>
                <w:sz w:val="20"/>
                <w:szCs w:val="20"/>
              </w:rPr>
              <w:t xml:space="preserve">Physicochemical properties of rosemary essential oil-based </w:t>
            </w:r>
            <w:proofErr w:type="spellStart"/>
            <w:r w:rsidRPr="00A021CB">
              <w:rPr>
                <w:sz w:val="20"/>
                <w:szCs w:val="20"/>
              </w:rPr>
              <w:t>nanoemulsions</w:t>
            </w:r>
            <w:proofErr w:type="spellEnd"/>
            <w:r w:rsidRPr="00A021CB">
              <w:rPr>
                <w:sz w:val="20"/>
                <w:szCs w:val="20"/>
              </w:rPr>
              <w:t xml:space="preserve"> and their implications for oral health: proof-of-concept in vitro studies</w:t>
            </w:r>
            <w:r>
              <w:rPr>
                <w:sz w:val="20"/>
                <w:szCs w:val="20"/>
              </w:rPr>
              <w:t xml:space="preserve">. </w:t>
            </w:r>
            <w:r w:rsidRPr="00A021CB">
              <w:rPr>
                <w:sz w:val="20"/>
                <w:szCs w:val="20"/>
              </w:rPr>
              <w:t xml:space="preserve">J </w:t>
            </w:r>
            <w:proofErr w:type="spellStart"/>
            <w:r w:rsidRPr="00A021CB">
              <w:rPr>
                <w:sz w:val="20"/>
                <w:szCs w:val="20"/>
              </w:rPr>
              <w:t>Essent</w:t>
            </w:r>
            <w:proofErr w:type="spellEnd"/>
            <w:r w:rsidRPr="00A021CB">
              <w:rPr>
                <w:sz w:val="20"/>
                <w:szCs w:val="20"/>
              </w:rPr>
              <w:t xml:space="preserve"> Oil Res</w:t>
            </w:r>
            <w:r>
              <w:rPr>
                <w:sz w:val="20"/>
                <w:szCs w:val="20"/>
              </w:rPr>
              <w:t xml:space="preserve">. </w:t>
            </w:r>
            <w:r w:rsidRPr="00A021CB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1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021CB">
              <w:rPr>
                <w:sz w:val="20"/>
                <w:szCs w:val="20"/>
              </w:rPr>
              <w:t>2.8</w:t>
            </w:r>
          </w:p>
        </w:tc>
      </w:tr>
      <w:tr w:rsidR="00E53419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E53419" w:rsidRDefault="00E53419" w:rsidP="00E53419">
            <w:pPr>
              <w:spacing w:line="276" w:lineRule="auto"/>
              <w:ind w:left="-23"/>
              <w:jc w:val="center"/>
            </w:pPr>
            <w:r>
              <w:rPr>
                <w:lang w:val="en-US"/>
              </w:rPr>
              <w:t>3.</w:t>
            </w:r>
          </w:p>
        </w:tc>
        <w:tc>
          <w:tcPr>
            <w:tcW w:w="3494" w:type="pct"/>
            <w:gridSpan w:val="10"/>
          </w:tcPr>
          <w:p w:rsidR="00E53419" w:rsidRPr="003539B0" w:rsidRDefault="00E53419" w:rsidP="006B0D3F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ED7501">
              <w:rPr>
                <w:sz w:val="20"/>
                <w:szCs w:val="20"/>
              </w:rPr>
              <w:t>Kom</w:t>
            </w:r>
            <w:r w:rsidR="006B0D3F">
              <w:rPr>
                <w:sz w:val="20"/>
                <w:szCs w:val="20"/>
              </w:rPr>
              <w:t>š</w:t>
            </w:r>
            <w:r w:rsidRPr="00ED7501">
              <w:rPr>
                <w:sz w:val="20"/>
                <w:szCs w:val="20"/>
              </w:rPr>
              <w:t>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ED7501">
              <w:rPr>
                <w:sz w:val="20"/>
                <w:szCs w:val="20"/>
              </w:rPr>
              <w:t xml:space="preserve"> J, </w:t>
            </w:r>
            <w:proofErr w:type="spellStart"/>
            <w:r w:rsidRPr="00ED7501">
              <w:rPr>
                <w:sz w:val="20"/>
                <w:szCs w:val="20"/>
              </w:rPr>
              <w:t>Vujkov</w:t>
            </w:r>
            <w:proofErr w:type="spellEnd"/>
            <w:r w:rsidRPr="00ED7501">
              <w:rPr>
                <w:sz w:val="20"/>
                <w:szCs w:val="20"/>
              </w:rPr>
              <w:t xml:space="preserve"> S, </w:t>
            </w:r>
            <w:proofErr w:type="spellStart"/>
            <w:r w:rsidRPr="00ED7501">
              <w:rPr>
                <w:b/>
                <w:bCs/>
                <w:sz w:val="20"/>
                <w:szCs w:val="20"/>
              </w:rPr>
              <w:t>Ne</w:t>
            </w:r>
            <w:r w:rsidR="006B0D3F">
              <w:rPr>
                <w:b/>
                <w:bCs/>
                <w:sz w:val="20"/>
                <w:szCs w:val="20"/>
              </w:rPr>
              <w:t>š</w:t>
            </w:r>
            <w:r w:rsidRPr="00ED7501">
              <w:rPr>
                <w:b/>
                <w:bCs/>
                <w:sz w:val="20"/>
                <w:szCs w:val="20"/>
              </w:rPr>
              <w:t>kovi</w:t>
            </w:r>
            <w:r w:rsidR="006B0D3F">
              <w:rPr>
                <w:b/>
                <w:bCs/>
                <w:sz w:val="20"/>
                <w:szCs w:val="20"/>
              </w:rPr>
              <w:t>ć</w:t>
            </w:r>
            <w:proofErr w:type="spellEnd"/>
            <w:r w:rsidRPr="00ED7501">
              <w:rPr>
                <w:b/>
                <w:bCs/>
                <w:sz w:val="20"/>
                <w:szCs w:val="20"/>
              </w:rPr>
              <w:t xml:space="preserve"> I</w:t>
            </w:r>
            <w:r w:rsidRPr="00ED7501">
              <w:rPr>
                <w:sz w:val="20"/>
                <w:szCs w:val="20"/>
              </w:rPr>
              <w:t xml:space="preserve">, </w:t>
            </w:r>
            <w:proofErr w:type="spellStart"/>
            <w:r w:rsidRPr="00ED7501">
              <w:rPr>
                <w:sz w:val="20"/>
                <w:szCs w:val="20"/>
              </w:rPr>
              <w:t>Blagojevi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ED7501">
              <w:rPr>
                <w:sz w:val="20"/>
                <w:szCs w:val="20"/>
              </w:rPr>
              <w:t xml:space="preserve"> D, </w:t>
            </w:r>
            <w:proofErr w:type="spellStart"/>
            <w:r w:rsidRPr="00ED7501">
              <w:rPr>
                <w:sz w:val="20"/>
                <w:szCs w:val="20"/>
              </w:rPr>
              <w:t>Tadi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ED7501">
              <w:rPr>
                <w:sz w:val="20"/>
                <w:szCs w:val="20"/>
              </w:rPr>
              <w:t xml:space="preserve"> A, </w:t>
            </w:r>
            <w:proofErr w:type="spellStart"/>
            <w:r w:rsidRPr="00ED7501">
              <w:rPr>
                <w:sz w:val="20"/>
                <w:szCs w:val="20"/>
              </w:rPr>
              <w:t>Petrovi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ED7501">
              <w:rPr>
                <w:sz w:val="20"/>
                <w:szCs w:val="20"/>
              </w:rPr>
              <w:t xml:space="preserve"> B, </w:t>
            </w:r>
            <w:r w:rsidR="006B0D3F">
              <w:rPr>
                <w:sz w:val="20"/>
                <w:szCs w:val="20"/>
              </w:rPr>
              <w:t>et al</w:t>
            </w:r>
            <w:r w:rsidRPr="00ED7501">
              <w:rPr>
                <w:sz w:val="20"/>
                <w:szCs w:val="20"/>
              </w:rPr>
              <w:t xml:space="preserve">. Comparative Evaluation of Alveolar Nerve Block with 2% </w:t>
            </w:r>
            <w:proofErr w:type="spellStart"/>
            <w:r w:rsidRPr="00ED7501">
              <w:rPr>
                <w:sz w:val="20"/>
                <w:szCs w:val="20"/>
              </w:rPr>
              <w:t>Lidocaine</w:t>
            </w:r>
            <w:proofErr w:type="spellEnd"/>
            <w:r w:rsidRPr="00ED7501">
              <w:rPr>
                <w:sz w:val="20"/>
                <w:szCs w:val="20"/>
              </w:rPr>
              <w:t xml:space="preserve">-Epinephrine and 4% </w:t>
            </w:r>
            <w:proofErr w:type="spellStart"/>
            <w:r w:rsidRPr="00ED7501">
              <w:rPr>
                <w:sz w:val="20"/>
                <w:szCs w:val="20"/>
              </w:rPr>
              <w:t>Articaine</w:t>
            </w:r>
            <w:proofErr w:type="spellEnd"/>
            <w:r w:rsidRPr="00ED7501">
              <w:rPr>
                <w:sz w:val="20"/>
                <w:szCs w:val="20"/>
              </w:rPr>
              <w:t xml:space="preserve">-Epinephrine </w:t>
            </w:r>
            <w:proofErr w:type="spellStart"/>
            <w:r w:rsidRPr="00ED7501">
              <w:rPr>
                <w:sz w:val="20"/>
                <w:szCs w:val="20"/>
              </w:rPr>
              <w:t>Buccal</w:t>
            </w:r>
            <w:proofErr w:type="spellEnd"/>
            <w:r w:rsidRPr="00ED7501">
              <w:rPr>
                <w:sz w:val="20"/>
                <w:szCs w:val="20"/>
              </w:rPr>
              <w:t xml:space="preserve"> Infiltration in </w:t>
            </w:r>
            <w:proofErr w:type="spellStart"/>
            <w:r w:rsidRPr="00ED7501">
              <w:rPr>
                <w:sz w:val="20"/>
                <w:szCs w:val="20"/>
              </w:rPr>
              <w:t>Mandibular</w:t>
            </w:r>
            <w:proofErr w:type="spellEnd"/>
            <w:r w:rsidRPr="00ED7501">
              <w:rPr>
                <w:sz w:val="20"/>
                <w:szCs w:val="20"/>
              </w:rPr>
              <w:t xml:space="preserve"> Premolar and Molar Region in Children: A Double-Blind, Randomized Trial. Children (Basel). 2025 Feb 12</w:t>
            </w:r>
            <w:proofErr w:type="gramStart"/>
            <w:r w:rsidRPr="00ED7501">
              <w:rPr>
                <w:sz w:val="20"/>
                <w:szCs w:val="20"/>
              </w:rPr>
              <w:t>;12</w:t>
            </w:r>
            <w:proofErr w:type="gramEnd"/>
            <w:r w:rsidRPr="00ED7501">
              <w:rPr>
                <w:sz w:val="20"/>
                <w:szCs w:val="20"/>
              </w:rPr>
              <w:t>(2):215.</w:t>
            </w:r>
          </w:p>
        </w:tc>
        <w:tc>
          <w:tcPr>
            <w:tcW w:w="441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C50DD">
              <w:rPr>
                <w:sz w:val="20"/>
                <w:szCs w:val="20"/>
              </w:rPr>
              <w:t>2.3</w:t>
            </w:r>
          </w:p>
        </w:tc>
      </w:tr>
      <w:tr w:rsidR="00E53419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E53419" w:rsidRDefault="00E53419" w:rsidP="00E53419">
            <w:pPr>
              <w:spacing w:line="276" w:lineRule="auto"/>
              <w:ind w:left="-23"/>
              <w:jc w:val="center"/>
            </w:pPr>
            <w:r>
              <w:t>4.</w:t>
            </w:r>
          </w:p>
        </w:tc>
        <w:tc>
          <w:tcPr>
            <w:tcW w:w="3494" w:type="pct"/>
            <w:gridSpan w:val="10"/>
          </w:tcPr>
          <w:p w:rsidR="00E53419" w:rsidRPr="00854905" w:rsidRDefault="00E53419" w:rsidP="006B0D3F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3539B0">
              <w:rPr>
                <w:sz w:val="20"/>
                <w:szCs w:val="20"/>
              </w:rPr>
              <w:t>Vujkov</w:t>
            </w:r>
            <w:proofErr w:type="spellEnd"/>
            <w:r w:rsidRPr="003539B0">
              <w:rPr>
                <w:sz w:val="20"/>
                <w:szCs w:val="20"/>
              </w:rPr>
              <w:t xml:space="preserve"> S, </w:t>
            </w:r>
            <w:proofErr w:type="spellStart"/>
            <w:r w:rsidRPr="003539B0">
              <w:rPr>
                <w:sz w:val="20"/>
                <w:szCs w:val="20"/>
              </w:rPr>
              <w:t>Bajkin</w:t>
            </w:r>
            <w:proofErr w:type="spellEnd"/>
            <w:r w:rsidRPr="003539B0">
              <w:rPr>
                <w:sz w:val="20"/>
                <w:szCs w:val="20"/>
              </w:rPr>
              <w:t xml:space="preserve"> B, </w:t>
            </w:r>
            <w:proofErr w:type="spellStart"/>
            <w:r w:rsidRPr="003539B0">
              <w:rPr>
                <w:sz w:val="20"/>
                <w:szCs w:val="20"/>
              </w:rPr>
              <w:t>Blagojević</w:t>
            </w:r>
            <w:proofErr w:type="spellEnd"/>
            <w:r w:rsidRPr="003539B0">
              <w:rPr>
                <w:sz w:val="20"/>
                <w:szCs w:val="20"/>
              </w:rPr>
              <w:t xml:space="preserve"> D, </w:t>
            </w:r>
            <w:proofErr w:type="spellStart"/>
            <w:r w:rsidRPr="003539B0">
              <w:rPr>
                <w:b/>
                <w:bCs/>
                <w:sz w:val="20"/>
                <w:szCs w:val="20"/>
              </w:rPr>
              <w:t>Nešković</w:t>
            </w:r>
            <w:proofErr w:type="spellEnd"/>
            <w:r w:rsidRPr="003539B0">
              <w:rPr>
                <w:b/>
                <w:bCs/>
                <w:sz w:val="20"/>
                <w:szCs w:val="20"/>
              </w:rPr>
              <w:t xml:space="preserve"> I</w:t>
            </w:r>
            <w:r w:rsidRPr="003539B0">
              <w:rPr>
                <w:sz w:val="20"/>
                <w:szCs w:val="20"/>
              </w:rPr>
              <w:t xml:space="preserve">, </w:t>
            </w:r>
            <w:proofErr w:type="spellStart"/>
            <w:r w:rsidRPr="003539B0">
              <w:rPr>
                <w:sz w:val="20"/>
                <w:szCs w:val="20"/>
              </w:rPr>
              <w:t>Komšić</w:t>
            </w:r>
            <w:proofErr w:type="spellEnd"/>
            <w:r w:rsidRPr="003539B0">
              <w:rPr>
                <w:sz w:val="20"/>
                <w:szCs w:val="20"/>
              </w:rPr>
              <w:t xml:space="preserve"> J, </w:t>
            </w:r>
            <w:proofErr w:type="spellStart"/>
            <w:r w:rsidRPr="003539B0">
              <w:rPr>
                <w:sz w:val="20"/>
                <w:szCs w:val="20"/>
              </w:rPr>
              <w:t>Tadić</w:t>
            </w:r>
            <w:proofErr w:type="spellEnd"/>
            <w:r w:rsidRPr="003539B0">
              <w:rPr>
                <w:sz w:val="20"/>
                <w:szCs w:val="20"/>
              </w:rPr>
              <w:t xml:space="preserve"> A, </w:t>
            </w:r>
            <w:r w:rsidR="006B0D3F">
              <w:rPr>
                <w:sz w:val="20"/>
                <w:szCs w:val="20"/>
              </w:rPr>
              <w:t>et al</w:t>
            </w:r>
            <w:r w:rsidRPr="003539B0">
              <w:rPr>
                <w:sz w:val="20"/>
                <w:szCs w:val="20"/>
              </w:rPr>
              <w:t xml:space="preserve">. Dental Considerations in Children with Inherited Bleeding Disorders and Inhibitors: A Systematic Review. J </w:t>
            </w:r>
            <w:proofErr w:type="spellStart"/>
            <w:r w:rsidRPr="003539B0">
              <w:rPr>
                <w:sz w:val="20"/>
                <w:szCs w:val="20"/>
              </w:rPr>
              <w:t>Clin</w:t>
            </w:r>
            <w:proofErr w:type="spellEnd"/>
            <w:r w:rsidRPr="003539B0">
              <w:rPr>
                <w:sz w:val="20"/>
                <w:szCs w:val="20"/>
              </w:rPr>
              <w:t xml:space="preserve"> Med. 2024 Dec 18</w:t>
            </w:r>
            <w:proofErr w:type="gramStart"/>
            <w:r w:rsidRPr="003539B0">
              <w:rPr>
                <w:sz w:val="20"/>
                <w:szCs w:val="20"/>
              </w:rPr>
              <w:t>;13</w:t>
            </w:r>
            <w:proofErr w:type="gramEnd"/>
            <w:r w:rsidRPr="003539B0">
              <w:rPr>
                <w:sz w:val="20"/>
                <w:szCs w:val="20"/>
              </w:rPr>
              <w:t>(24):7743.</w:t>
            </w:r>
          </w:p>
        </w:tc>
        <w:tc>
          <w:tcPr>
            <w:tcW w:w="441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3539B0">
              <w:rPr>
                <w:sz w:val="20"/>
                <w:szCs w:val="20"/>
              </w:rPr>
              <w:t>4.1</w:t>
            </w:r>
          </w:p>
        </w:tc>
      </w:tr>
      <w:tr w:rsidR="00E53419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E53419" w:rsidRDefault="00E53419" w:rsidP="00E53419">
            <w:pPr>
              <w:spacing w:line="276" w:lineRule="auto"/>
              <w:ind w:left="-23"/>
              <w:jc w:val="center"/>
            </w:pPr>
            <w:r>
              <w:t>5.</w:t>
            </w:r>
          </w:p>
        </w:tc>
        <w:tc>
          <w:tcPr>
            <w:tcW w:w="3494" w:type="pct"/>
            <w:gridSpan w:val="10"/>
          </w:tcPr>
          <w:p w:rsidR="00E53419" w:rsidRPr="00854905" w:rsidRDefault="00E53419" w:rsidP="006B0D3F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854905">
              <w:rPr>
                <w:sz w:val="20"/>
                <w:szCs w:val="20"/>
              </w:rPr>
              <w:t>Veljovi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="006B0D3F">
              <w:rPr>
                <w:sz w:val="20"/>
                <w:szCs w:val="20"/>
              </w:rPr>
              <w:t xml:space="preserve"> T, </w:t>
            </w:r>
            <w:proofErr w:type="spellStart"/>
            <w:r w:rsidR="006B0D3F">
              <w:rPr>
                <w:sz w:val="20"/>
                <w:szCs w:val="20"/>
              </w:rPr>
              <w:t>Đ</w:t>
            </w:r>
            <w:r w:rsidRPr="00854905">
              <w:rPr>
                <w:sz w:val="20"/>
                <w:szCs w:val="20"/>
              </w:rPr>
              <w:t>uri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854905">
              <w:rPr>
                <w:sz w:val="20"/>
                <w:szCs w:val="20"/>
              </w:rPr>
              <w:t xml:space="preserve"> M, </w:t>
            </w:r>
            <w:proofErr w:type="spellStart"/>
            <w:r w:rsidRPr="00854905">
              <w:rPr>
                <w:sz w:val="20"/>
                <w:szCs w:val="20"/>
              </w:rPr>
              <w:t>Mirni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854905">
              <w:rPr>
                <w:sz w:val="20"/>
                <w:szCs w:val="20"/>
              </w:rPr>
              <w:t xml:space="preserve"> J, </w:t>
            </w:r>
            <w:proofErr w:type="spellStart"/>
            <w:r w:rsidRPr="00854905">
              <w:rPr>
                <w:sz w:val="20"/>
                <w:szCs w:val="20"/>
              </w:rPr>
              <w:t>Gu</w:t>
            </w:r>
            <w:r w:rsidR="006B0D3F">
              <w:rPr>
                <w:sz w:val="20"/>
                <w:szCs w:val="20"/>
              </w:rPr>
              <w:t>š</w:t>
            </w:r>
            <w:r w:rsidRPr="00854905">
              <w:rPr>
                <w:sz w:val="20"/>
                <w:szCs w:val="20"/>
              </w:rPr>
              <w:t>i</w:t>
            </w:r>
            <w:r w:rsidR="006B0D3F">
              <w:rPr>
                <w:sz w:val="20"/>
                <w:szCs w:val="20"/>
              </w:rPr>
              <w:t>ć</w:t>
            </w:r>
            <w:proofErr w:type="spellEnd"/>
            <w:r w:rsidRPr="00854905">
              <w:rPr>
                <w:sz w:val="20"/>
                <w:szCs w:val="20"/>
              </w:rPr>
              <w:t xml:space="preserve"> I, </w:t>
            </w:r>
            <w:proofErr w:type="spellStart"/>
            <w:r w:rsidRPr="00854905">
              <w:rPr>
                <w:bCs/>
                <w:sz w:val="20"/>
                <w:szCs w:val="20"/>
              </w:rPr>
              <w:t>Maletin</w:t>
            </w:r>
            <w:proofErr w:type="spellEnd"/>
            <w:r w:rsidRPr="00854905">
              <w:rPr>
                <w:bCs/>
                <w:sz w:val="20"/>
                <w:szCs w:val="20"/>
              </w:rPr>
              <w:t xml:space="preserve"> A</w:t>
            </w:r>
            <w:r w:rsidRPr="00854905">
              <w:rPr>
                <w:sz w:val="20"/>
                <w:szCs w:val="20"/>
              </w:rPr>
              <w:t xml:space="preserve">, </w:t>
            </w:r>
            <w:r w:rsidR="006B0D3F">
              <w:rPr>
                <w:sz w:val="20"/>
                <w:szCs w:val="20"/>
              </w:rPr>
              <w:t>et al…</w:t>
            </w:r>
            <w:proofErr w:type="spellStart"/>
            <w:r w:rsidRPr="00854905">
              <w:rPr>
                <w:b/>
                <w:bCs/>
                <w:sz w:val="20"/>
                <w:szCs w:val="20"/>
              </w:rPr>
              <w:t>Ne</w:t>
            </w:r>
            <w:r w:rsidR="006B0D3F">
              <w:rPr>
                <w:b/>
                <w:bCs/>
                <w:sz w:val="20"/>
                <w:szCs w:val="20"/>
              </w:rPr>
              <w:t>š</w:t>
            </w:r>
            <w:r w:rsidRPr="00854905">
              <w:rPr>
                <w:b/>
                <w:bCs/>
                <w:sz w:val="20"/>
                <w:szCs w:val="20"/>
              </w:rPr>
              <w:t>kovi</w:t>
            </w:r>
            <w:r w:rsidR="006B0D3F">
              <w:rPr>
                <w:b/>
                <w:bCs/>
                <w:sz w:val="20"/>
                <w:szCs w:val="20"/>
              </w:rPr>
              <w:t>ć</w:t>
            </w:r>
            <w:proofErr w:type="spellEnd"/>
            <w:r w:rsidRPr="00854905">
              <w:rPr>
                <w:b/>
                <w:bCs/>
                <w:sz w:val="20"/>
                <w:szCs w:val="20"/>
              </w:rPr>
              <w:t xml:space="preserve"> I</w:t>
            </w:r>
            <w:r w:rsidR="006B0D3F">
              <w:rPr>
                <w:sz w:val="20"/>
                <w:szCs w:val="20"/>
              </w:rPr>
              <w:t>..</w:t>
            </w:r>
            <w:r w:rsidRPr="00854905">
              <w:rPr>
                <w:sz w:val="20"/>
                <w:szCs w:val="20"/>
              </w:rPr>
              <w:t xml:space="preserve">. </w:t>
            </w:r>
            <w:hyperlink r:id="rId6" w:history="1">
              <w:r w:rsidRPr="00854905">
                <w:rPr>
                  <w:rStyle w:val="Hyperlink"/>
                  <w:sz w:val="20"/>
                  <w:szCs w:val="20"/>
                </w:rPr>
                <w:t xml:space="preserve">Lipid </w:t>
              </w:r>
              <w:proofErr w:type="spellStart"/>
              <w:r w:rsidRPr="00854905">
                <w:rPr>
                  <w:rStyle w:val="Hyperlink"/>
                  <w:sz w:val="20"/>
                  <w:szCs w:val="20"/>
                </w:rPr>
                <w:t>Peroxidation</w:t>
              </w:r>
              <w:proofErr w:type="spellEnd"/>
              <w:r w:rsidRPr="00854905">
                <w:rPr>
                  <w:rStyle w:val="Hyperlink"/>
                  <w:sz w:val="20"/>
                  <w:szCs w:val="20"/>
                </w:rPr>
                <w:t xml:space="preserve"> Levels in Saliva and Plasma of Patients Suffering from </w:t>
              </w:r>
              <w:proofErr w:type="spellStart"/>
              <w:r w:rsidRPr="00854905">
                <w:rPr>
                  <w:rStyle w:val="Hyperlink"/>
                  <w:sz w:val="20"/>
                  <w:szCs w:val="20"/>
                </w:rPr>
                <w:t>Periodontitis</w:t>
              </w:r>
              <w:proofErr w:type="spellEnd"/>
            </w:hyperlink>
            <w:r w:rsidRPr="00854905">
              <w:rPr>
                <w:sz w:val="20"/>
                <w:szCs w:val="20"/>
              </w:rPr>
              <w:t xml:space="preserve">. J </w:t>
            </w:r>
            <w:proofErr w:type="spellStart"/>
            <w:r w:rsidRPr="00854905">
              <w:rPr>
                <w:sz w:val="20"/>
                <w:szCs w:val="20"/>
              </w:rPr>
              <w:t>Clin</w:t>
            </w:r>
            <w:proofErr w:type="spellEnd"/>
            <w:r w:rsidRPr="00854905">
              <w:rPr>
                <w:sz w:val="20"/>
                <w:szCs w:val="20"/>
              </w:rPr>
              <w:t xml:space="preserve"> Med. 2022 Jun 23</w:t>
            </w:r>
            <w:proofErr w:type="gramStart"/>
            <w:r w:rsidRPr="00854905">
              <w:rPr>
                <w:sz w:val="20"/>
                <w:szCs w:val="20"/>
              </w:rPr>
              <w:t>;11</w:t>
            </w:r>
            <w:proofErr w:type="gramEnd"/>
            <w:r w:rsidRPr="00854905">
              <w:rPr>
                <w:sz w:val="20"/>
                <w:szCs w:val="20"/>
              </w:rPr>
              <w:t>(13):3617.</w:t>
            </w:r>
          </w:p>
        </w:tc>
        <w:tc>
          <w:tcPr>
            <w:tcW w:w="441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47AF0">
              <w:rPr>
                <w:sz w:val="20"/>
                <w:szCs w:val="20"/>
              </w:rPr>
              <w:t>5.098</w:t>
            </w:r>
          </w:p>
        </w:tc>
      </w:tr>
      <w:tr w:rsidR="00E53419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E53419" w:rsidRPr="00500B97" w:rsidRDefault="00E53419" w:rsidP="00E53419">
            <w:pPr>
              <w:spacing w:line="276" w:lineRule="auto"/>
              <w:ind w:left="-23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494" w:type="pct"/>
            <w:gridSpan w:val="10"/>
          </w:tcPr>
          <w:p w:rsidR="00E53419" w:rsidRPr="00854905" w:rsidRDefault="00E53419" w:rsidP="00E53419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854905">
              <w:rPr>
                <w:b/>
                <w:bCs/>
                <w:sz w:val="20"/>
                <w:szCs w:val="20"/>
              </w:rPr>
              <w:t>Nešković I</w:t>
            </w:r>
            <w:r w:rsidRPr="00854905">
              <w:rPr>
                <w:sz w:val="20"/>
                <w:szCs w:val="20"/>
              </w:rPr>
              <w:t xml:space="preserve">, Maletin A, Brakoč J, Petrović B, </w:t>
            </w:r>
            <w:r w:rsidRPr="009C3BDC">
              <w:rPr>
                <w:sz w:val="20"/>
                <w:szCs w:val="20"/>
              </w:rPr>
              <w:t>Vujkov S</w:t>
            </w:r>
            <w:r w:rsidRPr="00854905">
              <w:rPr>
                <w:sz w:val="20"/>
                <w:szCs w:val="20"/>
              </w:rPr>
              <w:t xml:space="preserve">, Veljović T. </w:t>
            </w:r>
            <w:r w:rsidR="000B6AAC">
              <w:fldChar w:fldCharType="begin"/>
            </w:r>
            <w:r w:rsidR="00EB7152">
              <w:instrText>HYPERLINK "https://doiserbia.nb.rs/Article.aspx?ID=0370-81792200001N"</w:instrText>
            </w:r>
            <w:r w:rsidR="000B6AAC">
              <w:fldChar w:fldCharType="separate"/>
            </w:r>
            <w:r w:rsidRPr="00854905">
              <w:rPr>
                <w:rStyle w:val="Hyperlink"/>
                <w:sz w:val="20"/>
                <w:szCs w:val="20"/>
              </w:rPr>
              <w:t xml:space="preserve">The role of yogurt enriched with LGG culture (Lactobacillus rhamnosus GG) in dental caries </w:t>
            </w:r>
            <w:r w:rsidRPr="00854905">
              <w:rPr>
                <w:rStyle w:val="Hyperlink"/>
                <w:sz w:val="20"/>
                <w:szCs w:val="20"/>
              </w:rPr>
              <w:lastRenderedPageBreak/>
              <w:t>prevention.</w:t>
            </w:r>
            <w:r w:rsidR="000B6AAC">
              <w:fldChar w:fldCharType="end"/>
            </w:r>
            <w:r w:rsidRPr="00854905">
              <w:rPr>
                <w:sz w:val="20"/>
                <w:szCs w:val="20"/>
              </w:rPr>
              <w:t xml:space="preserve"> Srp Arh Celok Lek. 2022;150(1-2):10-6.</w:t>
            </w:r>
          </w:p>
        </w:tc>
        <w:tc>
          <w:tcPr>
            <w:tcW w:w="441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lastRenderedPageBreak/>
              <w:t>166/170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lastRenderedPageBreak/>
              <w:t>0.2</w:t>
            </w:r>
          </w:p>
        </w:tc>
      </w:tr>
      <w:tr w:rsidR="00E53419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E53419" w:rsidRPr="00854905" w:rsidRDefault="00E53419" w:rsidP="00E53419">
            <w:pPr>
              <w:spacing w:line="276" w:lineRule="auto"/>
              <w:ind w:left="-23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7.</w:t>
            </w:r>
          </w:p>
        </w:tc>
        <w:tc>
          <w:tcPr>
            <w:tcW w:w="3494" w:type="pct"/>
            <w:gridSpan w:val="10"/>
          </w:tcPr>
          <w:p w:rsidR="00E53419" w:rsidRPr="00854905" w:rsidRDefault="00E53419" w:rsidP="00E53419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854905">
              <w:rPr>
                <w:sz w:val="20"/>
                <w:szCs w:val="20"/>
              </w:rPr>
              <w:t>Stavrakis</w:t>
            </w:r>
            <w:proofErr w:type="spellEnd"/>
            <w:r w:rsidRPr="00854905">
              <w:rPr>
                <w:sz w:val="20"/>
                <w:szCs w:val="20"/>
              </w:rPr>
              <w:t xml:space="preserve"> AK, </w:t>
            </w:r>
            <w:proofErr w:type="spellStart"/>
            <w:r w:rsidRPr="00854905">
              <w:rPr>
                <w:sz w:val="20"/>
                <w:szCs w:val="20"/>
              </w:rPr>
              <w:t>Kojić</w:t>
            </w:r>
            <w:proofErr w:type="spellEnd"/>
            <w:r w:rsidRPr="00854905">
              <w:rPr>
                <w:sz w:val="20"/>
                <w:szCs w:val="20"/>
              </w:rPr>
              <w:t xml:space="preserve"> S, </w:t>
            </w:r>
            <w:proofErr w:type="spellStart"/>
            <w:r w:rsidRPr="009C3BDC">
              <w:rPr>
                <w:sz w:val="20"/>
                <w:szCs w:val="20"/>
              </w:rPr>
              <w:t>Petrović</w:t>
            </w:r>
            <w:proofErr w:type="spellEnd"/>
            <w:r w:rsidRPr="009C3BDC">
              <w:rPr>
                <w:sz w:val="20"/>
                <w:szCs w:val="20"/>
              </w:rPr>
              <w:t xml:space="preserve"> B</w:t>
            </w:r>
            <w:r w:rsidRPr="00854905">
              <w:rPr>
                <w:sz w:val="20"/>
                <w:szCs w:val="20"/>
              </w:rPr>
              <w:t xml:space="preserve">, </w:t>
            </w:r>
            <w:proofErr w:type="spellStart"/>
            <w:r w:rsidRPr="009C3BDC">
              <w:rPr>
                <w:b/>
                <w:sz w:val="20"/>
                <w:szCs w:val="20"/>
              </w:rPr>
              <w:t>Nešković</w:t>
            </w:r>
            <w:proofErr w:type="spellEnd"/>
            <w:r w:rsidRPr="009C3BDC">
              <w:rPr>
                <w:b/>
                <w:sz w:val="20"/>
                <w:szCs w:val="20"/>
              </w:rPr>
              <w:t xml:space="preserve"> I</w:t>
            </w:r>
            <w:r w:rsidRPr="00854905">
              <w:rPr>
                <w:sz w:val="20"/>
                <w:szCs w:val="20"/>
              </w:rPr>
              <w:t xml:space="preserve">, </w:t>
            </w:r>
            <w:proofErr w:type="spellStart"/>
            <w:r w:rsidRPr="00854905">
              <w:rPr>
                <w:sz w:val="20"/>
                <w:szCs w:val="20"/>
              </w:rPr>
              <w:t>Stojanović</w:t>
            </w:r>
            <w:proofErr w:type="spellEnd"/>
            <w:r w:rsidRPr="00854905">
              <w:rPr>
                <w:sz w:val="20"/>
                <w:szCs w:val="20"/>
              </w:rPr>
              <w:t xml:space="preserve"> GM. </w:t>
            </w:r>
            <w:hyperlink r:id="rId7" w:history="1">
              <w:r w:rsidRPr="00854905">
                <w:rPr>
                  <w:rStyle w:val="Hyperlink"/>
                  <w:sz w:val="20"/>
                  <w:szCs w:val="20"/>
                </w:rPr>
                <w:t>Performance Evaluation of Dental Flosses Pre- and Post-Utilization</w:t>
              </w:r>
            </w:hyperlink>
            <w:r w:rsidRPr="00854905">
              <w:rPr>
                <w:sz w:val="20"/>
                <w:szCs w:val="20"/>
              </w:rPr>
              <w:t>. Materials (Basel). 2022 Feb 18</w:t>
            </w:r>
            <w:proofErr w:type="gramStart"/>
            <w:r w:rsidRPr="00854905">
              <w:rPr>
                <w:sz w:val="20"/>
                <w:szCs w:val="20"/>
              </w:rPr>
              <w:t>;15</w:t>
            </w:r>
            <w:proofErr w:type="gramEnd"/>
            <w:r w:rsidRPr="00854905">
              <w:rPr>
                <w:sz w:val="20"/>
                <w:szCs w:val="20"/>
              </w:rPr>
              <w:t>(4):1522.</w:t>
            </w:r>
          </w:p>
        </w:tc>
        <w:tc>
          <w:tcPr>
            <w:tcW w:w="441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t>20/79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t>21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t>3.4</w:t>
            </w:r>
          </w:p>
        </w:tc>
      </w:tr>
      <w:tr w:rsidR="00E53419" w:rsidRPr="00A22864" w:rsidTr="00BE4CE3">
        <w:trPr>
          <w:trHeight w:val="227"/>
          <w:jc w:val="center"/>
        </w:trPr>
        <w:tc>
          <w:tcPr>
            <w:tcW w:w="307" w:type="pct"/>
            <w:vAlign w:val="center"/>
          </w:tcPr>
          <w:p w:rsidR="00E53419" w:rsidRPr="000022A6" w:rsidRDefault="00E53419" w:rsidP="00E53419">
            <w:pPr>
              <w:spacing w:line="276" w:lineRule="auto"/>
              <w:ind w:left="-23"/>
              <w:jc w:val="center"/>
            </w:pPr>
            <w:r>
              <w:t>8.</w:t>
            </w:r>
          </w:p>
        </w:tc>
        <w:tc>
          <w:tcPr>
            <w:tcW w:w="3494" w:type="pct"/>
            <w:gridSpan w:val="10"/>
          </w:tcPr>
          <w:p w:rsidR="00E53419" w:rsidRPr="00854905" w:rsidRDefault="00E53419" w:rsidP="00E53419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854905">
              <w:rPr>
                <w:sz w:val="20"/>
                <w:szCs w:val="20"/>
              </w:rPr>
              <w:t>Blagojević</w:t>
            </w:r>
            <w:proofErr w:type="spellEnd"/>
            <w:r w:rsidRPr="00854905">
              <w:rPr>
                <w:sz w:val="20"/>
                <w:szCs w:val="20"/>
              </w:rPr>
              <w:t xml:space="preserve"> D, </w:t>
            </w:r>
            <w:proofErr w:type="spellStart"/>
            <w:r w:rsidRPr="00854905">
              <w:rPr>
                <w:sz w:val="20"/>
                <w:szCs w:val="20"/>
              </w:rPr>
              <w:t>Pavlović</w:t>
            </w:r>
            <w:proofErr w:type="spellEnd"/>
            <w:r w:rsidRPr="00854905">
              <w:rPr>
                <w:sz w:val="20"/>
                <w:szCs w:val="20"/>
              </w:rPr>
              <w:t xml:space="preserve">- </w:t>
            </w:r>
            <w:proofErr w:type="spellStart"/>
            <w:r w:rsidRPr="00854905">
              <w:rPr>
                <w:sz w:val="20"/>
                <w:szCs w:val="20"/>
              </w:rPr>
              <w:t>Trifunović</w:t>
            </w:r>
            <w:proofErr w:type="spellEnd"/>
            <w:r w:rsidRPr="00854905">
              <w:rPr>
                <w:sz w:val="20"/>
                <w:szCs w:val="20"/>
              </w:rPr>
              <w:t xml:space="preserve"> LJ, </w:t>
            </w:r>
            <w:proofErr w:type="spellStart"/>
            <w:r w:rsidRPr="00854905">
              <w:rPr>
                <w:sz w:val="20"/>
                <w:szCs w:val="20"/>
              </w:rPr>
              <w:t>Šipovac</w:t>
            </w:r>
            <w:proofErr w:type="spellEnd"/>
            <w:r w:rsidRPr="00854905">
              <w:rPr>
                <w:sz w:val="20"/>
                <w:szCs w:val="20"/>
              </w:rPr>
              <w:t xml:space="preserve"> M, </w:t>
            </w:r>
            <w:proofErr w:type="spellStart"/>
            <w:r w:rsidRPr="009C3BDC">
              <w:rPr>
                <w:b/>
                <w:sz w:val="20"/>
                <w:szCs w:val="20"/>
              </w:rPr>
              <w:t>Nešković</w:t>
            </w:r>
            <w:proofErr w:type="spellEnd"/>
            <w:r w:rsidRPr="009C3BDC">
              <w:rPr>
                <w:b/>
                <w:sz w:val="20"/>
                <w:szCs w:val="20"/>
              </w:rPr>
              <w:t xml:space="preserve"> I</w:t>
            </w:r>
            <w:r w:rsidRPr="00854905">
              <w:rPr>
                <w:sz w:val="20"/>
                <w:szCs w:val="20"/>
              </w:rPr>
              <w:t xml:space="preserve">, </w:t>
            </w:r>
            <w:proofErr w:type="spellStart"/>
            <w:r w:rsidRPr="009C3BDC">
              <w:rPr>
                <w:sz w:val="20"/>
                <w:szCs w:val="20"/>
              </w:rPr>
              <w:t>Vujkov</w:t>
            </w:r>
            <w:proofErr w:type="spellEnd"/>
            <w:r w:rsidRPr="009C3BDC">
              <w:rPr>
                <w:sz w:val="20"/>
                <w:szCs w:val="20"/>
              </w:rPr>
              <w:t xml:space="preserve"> S</w:t>
            </w:r>
            <w:r w:rsidRPr="00854905">
              <w:rPr>
                <w:sz w:val="20"/>
                <w:szCs w:val="20"/>
              </w:rPr>
              <w:t xml:space="preserve">, </w:t>
            </w:r>
            <w:proofErr w:type="spellStart"/>
            <w:r w:rsidRPr="00854905">
              <w:rPr>
                <w:sz w:val="20"/>
                <w:szCs w:val="20"/>
              </w:rPr>
              <w:t>Petrović</w:t>
            </w:r>
            <w:proofErr w:type="spellEnd"/>
            <w:r w:rsidRPr="00854905">
              <w:rPr>
                <w:sz w:val="20"/>
                <w:szCs w:val="20"/>
              </w:rPr>
              <w:t xml:space="preserve"> B. </w:t>
            </w:r>
            <w:hyperlink r:id="rId8" w:anchor=".X7JT-2VKi00" w:history="1">
              <w:r w:rsidRPr="00854905">
                <w:rPr>
                  <w:rStyle w:val="Hyperlink"/>
                  <w:sz w:val="20"/>
                  <w:szCs w:val="20"/>
                </w:rPr>
                <w:t>The first dental visit, comparative analysis of the two successive five years periods</w:t>
              </w:r>
            </w:hyperlink>
            <w:r w:rsidRPr="00854905">
              <w:rPr>
                <w:sz w:val="20"/>
                <w:szCs w:val="20"/>
              </w:rPr>
              <w:t xml:space="preserve">. </w:t>
            </w:r>
            <w:proofErr w:type="spellStart"/>
            <w:r w:rsidRPr="00854905">
              <w:rPr>
                <w:sz w:val="20"/>
                <w:szCs w:val="20"/>
              </w:rPr>
              <w:t>Srp</w:t>
            </w:r>
            <w:proofErr w:type="spellEnd"/>
            <w:r w:rsidRPr="00854905">
              <w:rPr>
                <w:sz w:val="20"/>
                <w:szCs w:val="20"/>
              </w:rPr>
              <w:t xml:space="preserve"> </w:t>
            </w:r>
            <w:proofErr w:type="spellStart"/>
            <w:r w:rsidRPr="00854905">
              <w:rPr>
                <w:sz w:val="20"/>
                <w:szCs w:val="20"/>
              </w:rPr>
              <w:t>Arh</w:t>
            </w:r>
            <w:proofErr w:type="spellEnd"/>
            <w:r w:rsidRPr="00854905">
              <w:rPr>
                <w:sz w:val="20"/>
                <w:szCs w:val="20"/>
              </w:rPr>
              <w:t xml:space="preserve"> </w:t>
            </w:r>
            <w:proofErr w:type="spellStart"/>
            <w:r w:rsidRPr="00854905">
              <w:rPr>
                <w:sz w:val="20"/>
                <w:szCs w:val="20"/>
              </w:rPr>
              <w:t>Celok</w:t>
            </w:r>
            <w:proofErr w:type="spellEnd"/>
            <w:r w:rsidRPr="00854905">
              <w:rPr>
                <w:sz w:val="20"/>
                <w:szCs w:val="20"/>
              </w:rPr>
              <w:t xml:space="preserve"> </w:t>
            </w:r>
            <w:proofErr w:type="spellStart"/>
            <w:r w:rsidRPr="00854905">
              <w:rPr>
                <w:sz w:val="20"/>
                <w:szCs w:val="20"/>
              </w:rPr>
              <w:t>Lek</w:t>
            </w:r>
            <w:proofErr w:type="spellEnd"/>
            <w:r w:rsidRPr="00854905">
              <w:rPr>
                <w:sz w:val="20"/>
                <w:szCs w:val="20"/>
              </w:rPr>
              <w:t>. 2019</w:t>
            </w:r>
            <w:proofErr w:type="gramStart"/>
            <w:r w:rsidRPr="00854905">
              <w:rPr>
                <w:sz w:val="20"/>
                <w:szCs w:val="20"/>
              </w:rPr>
              <w:t>;147</w:t>
            </w:r>
            <w:proofErr w:type="gramEnd"/>
            <w:r w:rsidRPr="00854905">
              <w:rPr>
                <w:sz w:val="20"/>
                <w:szCs w:val="20"/>
              </w:rPr>
              <w:t>(3-4):148-51.</w:t>
            </w:r>
          </w:p>
        </w:tc>
        <w:tc>
          <w:tcPr>
            <w:tcW w:w="441" w:type="pct"/>
            <w:vAlign w:val="center"/>
          </w:tcPr>
          <w:p w:rsidR="00E53419" w:rsidRDefault="00E53419" w:rsidP="00E53419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905">
              <w:rPr>
                <w:rFonts w:ascii="Times New Roman" w:hAnsi="Times New Roman" w:cs="Times New Roman"/>
                <w:sz w:val="20"/>
                <w:szCs w:val="20"/>
              </w:rPr>
              <w:t>162/165</w:t>
            </w: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t>23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t>0.142</w:t>
            </w:r>
          </w:p>
        </w:tc>
      </w:tr>
      <w:tr w:rsidR="00E53419" w:rsidRPr="00A22864" w:rsidTr="001830E9">
        <w:trPr>
          <w:trHeight w:val="227"/>
          <w:jc w:val="center"/>
        </w:trPr>
        <w:tc>
          <w:tcPr>
            <w:tcW w:w="307" w:type="pct"/>
            <w:vAlign w:val="center"/>
          </w:tcPr>
          <w:p w:rsidR="00E53419" w:rsidRPr="000022A6" w:rsidRDefault="00E53419" w:rsidP="00E53419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3494" w:type="pct"/>
            <w:gridSpan w:val="10"/>
          </w:tcPr>
          <w:p w:rsidR="00E53419" w:rsidRPr="00854905" w:rsidRDefault="00E53419" w:rsidP="00E53419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854905">
              <w:rPr>
                <w:bCs/>
                <w:sz w:val="20"/>
                <w:szCs w:val="20"/>
              </w:rPr>
              <w:t>Maletin</w:t>
            </w:r>
            <w:proofErr w:type="spellEnd"/>
            <w:r w:rsidRPr="00854905">
              <w:rPr>
                <w:bCs/>
                <w:sz w:val="20"/>
                <w:szCs w:val="20"/>
              </w:rPr>
              <w:t xml:space="preserve"> A</w:t>
            </w:r>
            <w:r w:rsidRPr="00854905">
              <w:rPr>
                <w:sz w:val="20"/>
                <w:szCs w:val="20"/>
              </w:rPr>
              <w:t xml:space="preserve">, </w:t>
            </w:r>
            <w:proofErr w:type="spellStart"/>
            <w:r w:rsidRPr="00854905">
              <w:rPr>
                <w:sz w:val="20"/>
                <w:szCs w:val="20"/>
              </w:rPr>
              <w:t>Marković</w:t>
            </w:r>
            <w:proofErr w:type="spellEnd"/>
            <w:r w:rsidRPr="00854905">
              <w:rPr>
                <w:sz w:val="20"/>
                <w:szCs w:val="20"/>
              </w:rPr>
              <w:t xml:space="preserve"> D, </w:t>
            </w:r>
            <w:proofErr w:type="spellStart"/>
            <w:r w:rsidRPr="00854905">
              <w:rPr>
                <w:b/>
                <w:bCs/>
                <w:sz w:val="20"/>
                <w:szCs w:val="20"/>
              </w:rPr>
              <w:t>Nešković</w:t>
            </w:r>
            <w:proofErr w:type="spellEnd"/>
            <w:r w:rsidRPr="00854905">
              <w:rPr>
                <w:b/>
                <w:bCs/>
                <w:sz w:val="20"/>
                <w:szCs w:val="20"/>
              </w:rPr>
              <w:t xml:space="preserve"> I</w:t>
            </w:r>
            <w:r w:rsidRPr="00854905">
              <w:rPr>
                <w:sz w:val="20"/>
                <w:szCs w:val="20"/>
              </w:rPr>
              <w:t xml:space="preserve">, </w:t>
            </w:r>
            <w:proofErr w:type="spellStart"/>
            <w:r w:rsidRPr="00854905">
              <w:rPr>
                <w:sz w:val="20"/>
                <w:szCs w:val="20"/>
              </w:rPr>
              <w:t>Ramić</w:t>
            </w:r>
            <w:proofErr w:type="spellEnd"/>
            <w:r w:rsidRPr="00854905">
              <w:rPr>
                <w:sz w:val="20"/>
                <w:szCs w:val="20"/>
              </w:rPr>
              <w:t xml:space="preserve"> B, </w:t>
            </w:r>
            <w:proofErr w:type="spellStart"/>
            <w:r w:rsidRPr="00854905">
              <w:rPr>
                <w:sz w:val="20"/>
                <w:szCs w:val="20"/>
              </w:rPr>
              <w:t>Veljović</w:t>
            </w:r>
            <w:proofErr w:type="spellEnd"/>
            <w:r w:rsidRPr="00854905">
              <w:rPr>
                <w:sz w:val="20"/>
                <w:szCs w:val="20"/>
              </w:rPr>
              <w:t xml:space="preserve"> T, </w:t>
            </w:r>
            <w:proofErr w:type="spellStart"/>
            <w:r w:rsidRPr="00854905">
              <w:rPr>
                <w:sz w:val="20"/>
                <w:szCs w:val="20"/>
              </w:rPr>
              <w:t>Ristić</w:t>
            </w:r>
            <w:proofErr w:type="spellEnd"/>
            <w:r w:rsidRPr="00854905">
              <w:rPr>
                <w:sz w:val="20"/>
                <w:szCs w:val="20"/>
              </w:rPr>
              <w:t xml:space="preserve"> I. </w:t>
            </w:r>
            <w:hyperlink r:id="rId9" w:history="1">
              <w:r w:rsidRPr="00854905">
                <w:rPr>
                  <w:rStyle w:val="Hyperlink"/>
                  <w:sz w:val="20"/>
                  <w:szCs w:val="20"/>
                </w:rPr>
                <w:t xml:space="preserve">Application of a novel modification of the </w:t>
              </w:r>
              <w:proofErr w:type="spellStart"/>
              <w:r w:rsidRPr="00854905">
                <w:rPr>
                  <w:rStyle w:val="Hyperlink"/>
                  <w:sz w:val="20"/>
                  <w:szCs w:val="20"/>
                </w:rPr>
                <w:t>microbond</w:t>
              </w:r>
              <w:proofErr w:type="spellEnd"/>
              <w:r w:rsidRPr="00854905">
                <w:rPr>
                  <w:rStyle w:val="Hyperlink"/>
                  <w:sz w:val="20"/>
                  <w:szCs w:val="20"/>
                </w:rPr>
                <w:t xml:space="preserve"> test for evaluation of adhesive bond strength between fiber posts and dual-cure dental resin cement.</w:t>
              </w:r>
            </w:hyperlink>
            <w:r w:rsidRPr="00854905">
              <w:rPr>
                <w:sz w:val="20"/>
                <w:szCs w:val="20"/>
              </w:rPr>
              <w:t xml:space="preserve"> Med </w:t>
            </w:r>
            <w:proofErr w:type="spellStart"/>
            <w:r w:rsidRPr="00854905">
              <w:rPr>
                <w:sz w:val="20"/>
                <w:szCs w:val="20"/>
              </w:rPr>
              <w:t>Sci</w:t>
            </w:r>
            <w:proofErr w:type="spellEnd"/>
            <w:r w:rsidRPr="00854905">
              <w:rPr>
                <w:sz w:val="20"/>
                <w:szCs w:val="20"/>
              </w:rPr>
              <w:t xml:space="preserve"> </w:t>
            </w:r>
            <w:proofErr w:type="spellStart"/>
            <w:r w:rsidRPr="00854905">
              <w:rPr>
                <w:sz w:val="20"/>
                <w:szCs w:val="20"/>
              </w:rPr>
              <w:t>Monit</w:t>
            </w:r>
            <w:proofErr w:type="spellEnd"/>
            <w:r w:rsidRPr="00854905">
              <w:rPr>
                <w:sz w:val="20"/>
                <w:szCs w:val="20"/>
              </w:rPr>
              <w:t>. 2019</w:t>
            </w:r>
            <w:proofErr w:type="gramStart"/>
            <w:r w:rsidRPr="00854905">
              <w:rPr>
                <w:sz w:val="20"/>
                <w:szCs w:val="20"/>
              </w:rPr>
              <w:t>;25:3397</w:t>
            </w:r>
            <w:proofErr w:type="gramEnd"/>
            <w:r w:rsidRPr="00854905">
              <w:rPr>
                <w:sz w:val="20"/>
                <w:szCs w:val="20"/>
              </w:rPr>
              <w:t xml:space="preserve">-405.                </w:t>
            </w:r>
          </w:p>
        </w:tc>
        <w:tc>
          <w:tcPr>
            <w:tcW w:w="441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t>101/139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t>23</w:t>
            </w:r>
          </w:p>
        </w:tc>
        <w:tc>
          <w:tcPr>
            <w:tcW w:w="379" w:type="pct"/>
          </w:tcPr>
          <w:p w:rsidR="00E53419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E53419" w:rsidRPr="00854905" w:rsidRDefault="00E53419" w:rsidP="00E5341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54905">
              <w:rPr>
                <w:sz w:val="20"/>
                <w:szCs w:val="20"/>
              </w:rPr>
              <w:t>1.918</w:t>
            </w:r>
          </w:p>
        </w:tc>
      </w:tr>
      <w:tr w:rsidR="00E53419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E53419" w:rsidRPr="00A22864" w:rsidRDefault="00E53419" w:rsidP="00E53419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E53419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E53419" w:rsidRPr="00A22864" w:rsidRDefault="00E53419" w:rsidP="00E53419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E53419" w:rsidRPr="00A22864" w:rsidTr="00854905">
        <w:trPr>
          <w:trHeight w:val="227"/>
          <w:jc w:val="center"/>
        </w:trPr>
        <w:tc>
          <w:tcPr>
            <w:tcW w:w="2782" w:type="pct"/>
            <w:gridSpan w:val="6"/>
            <w:vAlign w:val="center"/>
          </w:tcPr>
          <w:p w:rsidR="00E53419" w:rsidRPr="00A22864" w:rsidRDefault="00E53419" w:rsidP="00E5341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218" w:type="pct"/>
            <w:gridSpan w:val="8"/>
            <w:vAlign w:val="center"/>
          </w:tcPr>
          <w:p w:rsidR="00E53419" w:rsidRPr="00BB7FAE" w:rsidRDefault="00E53419" w:rsidP="006E0E1C">
            <w:pPr>
              <w:spacing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="006E0E1C">
              <w:rPr>
                <w:bCs/>
                <w:lang w:val="en-US"/>
              </w:rPr>
              <w:t>9</w:t>
            </w:r>
          </w:p>
        </w:tc>
      </w:tr>
      <w:tr w:rsidR="00E53419" w:rsidRPr="00A22864" w:rsidTr="00854905">
        <w:trPr>
          <w:trHeight w:val="227"/>
          <w:jc w:val="center"/>
        </w:trPr>
        <w:tc>
          <w:tcPr>
            <w:tcW w:w="2782" w:type="pct"/>
            <w:gridSpan w:val="6"/>
            <w:vAlign w:val="center"/>
          </w:tcPr>
          <w:p w:rsidR="00E53419" w:rsidRPr="00A22864" w:rsidRDefault="00E53419" w:rsidP="00E53419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218" w:type="pct"/>
            <w:gridSpan w:val="8"/>
            <w:vAlign w:val="center"/>
          </w:tcPr>
          <w:p w:rsidR="00E53419" w:rsidRPr="00BB7FAE" w:rsidRDefault="00E53419" w:rsidP="00E53419">
            <w:pPr>
              <w:spacing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E53419" w:rsidRPr="00A22864" w:rsidTr="00854905">
        <w:trPr>
          <w:trHeight w:val="227"/>
          <w:jc w:val="center"/>
        </w:trPr>
        <w:tc>
          <w:tcPr>
            <w:tcW w:w="2782" w:type="pct"/>
            <w:gridSpan w:val="6"/>
            <w:vAlign w:val="center"/>
          </w:tcPr>
          <w:p w:rsidR="00E53419" w:rsidRPr="00A22864" w:rsidRDefault="00E53419" w:rsidP="00E5341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49" w:type="pct"/>
            <w:gridSpan w:val="3"/>
            <w:vAlign w:val="center"/>
          </w:tcPr>
          <w:p w:rsidR="00E53419" w:rsidRPr="00A22864" w:rsidRDefault="00E53419" w:rsidP="00E5341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569" w:type="pct"/>
            <w:gridSpan w:val="5"/>
            <w:vAlign w:val="center"/>
          </w:tcPr>
          <w:p w:rsidR="00E53419" w:rsidRPr="00A5459A" w:rsidRDefault="00E53419" w:rsidP="00E53419">
            <w:pPr>
              <w:spacing w:after="60"/>
              <w:rPr>
                <w:lang w:val="en-US"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 xml:space="preserve">: </w:t>
            </w:r>
            <w:r>
              <w:rPr>
                <w:lang w:val="en-US"/>
              </w:rPr>
              <w:t>1</w:t>
            </w:r>
          </w:p>
        </w:tc>
      </w:tr>
      <w:tr w:rsidR="00E53419" w:rsidRPr="00A22864" w:rsidTr="00854905">
        <w:trPr>
          <w:trHeight w:val="227"/>
          <w:jc w:val="center"/>
        </w:trPr>
        <w:tc>
          <w:tcPr>
            <w:tcW w:w="2782" w:type="pct"/>
            <w:gridSpan w:val="6"/>
            <w:vAlign w:val="center"/>
          </w:tcPr>
          <w:p w:rsidR="00E53419" w:rsidRPr="00A22864" w:rsidRDefault="00E53419" w:rsidP="00E5341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49" w:type="pct"/>
            <w:gridSpan w:val="3"/>
            <w:vAlign w:val="center"/>
          </w:tcPr>
          <w:p w:rsidR="00E53419" w:rsidRPr="00A22864" w:rsidRDefault="00E53419" w:rsidP="00E53419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569" w:type="pct"/>
            <w:gridSpan w:val="5"/>
            <w:vAlign w:val="center"/>
          </w:tcPr>
          <w:p w:rsidR="00E53419" w:rsidRPr="00DF7B1B" w:rsidRDefault="00E53419" w:rsidP="00E53419">
            <w:pPr>
              <w:spacing w:after="60"/>
              <w:rPr>
                <w:b/>
                <w:lang w:val="en-US"/>
              </w:rPr>
            </w:pPr>
          </w:p>
        </w:tc>
      </w:tr>
      <w:tr w:rsidR="00E53419" w:rsidRPr="00A22864" w:rsidTr="00854905">
        <w:trPr>
          <w:trHeight w:val="227"/>
          <w:jc w:val="center"/>
        </w:trPr>
        <w:tc>
          <w:tcPr>
            <w:tcW w:w="2782" w:type="pct"/>
            <w:gridSpan w:val="6"/>
            <w:vAlign w:val="center"/>
          </w:tcPr>
          <w:p w:rsidR="00E53419" w:rsidRPr="00A22864" w:rsidRDefault="00E53419" w:rsidP="00E53419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218" w:type="pct"/>
            <w:gridSpan w:val="8"/>
            <w:vAlign w:val="center"/>
          </w:tcPr>
          <w:p w:rsidR="00E53419" w:rsidRPr="00A22864" w:rsidRDefault="00E53419" w:rsidP="00E53419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C342C"/>
    <w:multiLevelType w:val="hybridMultilevel"/>
    <w:tmpl w:val="576C5FBA"/>
    <w:lvl w:ilvl="0" w:tplc="F6744A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494424"/>
    <w:rsid w:val="00004DFB"/>
    <w:rsid w:val="000B6AAC"/>
    <w:rsid w:val="000F1D38"/>
    <w:rsid w:val="001830E9"/>
    <w:rsid w:val="003539B0"/>
    <w:rsid w:val="003A407B"/>
    <w:rsid w:val="004210A4"/>
    <w:rsid w:val="00494424"/>
    <w:rsid w:val="004C50DD"/>
    <w:rsid w:val="00500B97"/>
    <w:rsid w:val="00505EBB"/>
    <w:rsid w:val="006B0D3F"/>
    <w:rsid w:val="006E0E1C"/>
    <w:rsid w:val="007167D7"/>
    <w:rsid w:val="008378BE"/>
    <w:rsid w:val="00854905"/>
    <w:rsid w:val="00910F34"/>
    <w:rsid w:val="00920DCC"/>
    <w:rsid w:val="00975A90"/>
    <w:rsid w:val="0097693A"/>
    <w:rsid w:val="009C3BDC"/>
    <w:rsid w:val="009D3B4E"/>
    <w:rsid w:val="00A021CB"/>
    <w:rsid w:val="00A47AF0"/>
    <w:rsid w:val="00A5459A"/>
    <w:rsid w:val="00AB00FC"/>
    <w:rsid w:val="00AD1B1F"/>
    <w:rsid w:val="00BB7FAE"/>
    <w:rsid w:val="00C027F1"/>
    <w:rsid w:val="00C634AA"/>
    <w:rsid w:val="00D12BA1"/>
    <w:rsid w:val="00DF7B1B"/>
    <w:rsid w:val="00E53419"/>
    <w:rsid w:val="00EA25FB"/>
    <w:rsid w:val="00EB7152"/>
    <w:rsid w:val="00ED7501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00B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00B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0B9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10F34"/>
    <w:rPr>
      <w:i/>
      <w:iCs/>
    </w:rPr>
  </w:style>
  <w:style w:type="character" w:customStyle="1" w:styleId="fontstyle01">
    <w:name w:val="fontstyle01"/>
    <w:basedOn w:val="DefaultParagraphFont"/>
    <w:rsid w:val="008378BE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paragraph" w:styleId="NormalWeb">
    <w:name w:val="Normal (Web)"/>
    <w:basedOn w:val="Normal"/>
    <w:uiPriority w:val="99"/>
    <w:unhideWhenUsed/>
    <w:rsid w:val="00DF7B1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TableContents">
    <w:name w:val="Table Contents"/>
    <w:basedOn w:val="Normal"/>
    <w:rsid w:val="00A5459A"/>
    <w:pPr>
      <w:widowControl/>
      <w:suppressLineNumbers/>
      <w:suppressAutoHyphens/>
      <w:autoSpaceDE/>
      <w:adjustRightInd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21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serbia.nb.rs/Article.aspx?ID=0370-81791800032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8879268/pdf/materials-15-015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9267322/pdf/jcm-11-0361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obson.nb.rs/nauka_u_srbiji.132.html?autor=Neskovic%20Isidora&amp;samoar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6525573/pdf/medscimonit-25-339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aleksandra.biberdzic</cp:lastModifiedBy>
  <cp:revision>18</cp:revision>
  <dcterms:created xsi:type="dcterms:W3CDTF">2023-03-09T11:08:00Z</dcterms:created>
  <dcterms:modified xsi:type="dcterms:W3CDTF">2025-10-29T10:28:00Z</dcterms:modified>
</cp:coreProperties>
</file>