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04DF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581"/>
        <w:gridCol w:w="953"/>
        <w:gridCol w:w="537"/>
        <w:gridCol w:w="861"/>
        <w:gridCol w:w="734"/>
        <w:gridCol w:w="535"/>
        <w:gridCol w:w="685"/>
        <w:gridCol w:w="618"/>
        <w:gridCol w:w="488"/>
        <w:gridCol w:w="938"/>
        <w:gridCol w:w="803"/>
        <w:gridCol w:w="803"/>
      </w:tblGrid>
      <w:tr w:rsidR="00494424" w:rsidRPr="00A22864" w14:paraId="5153554F" w14:textId="77777777" w:rsidTr="00F21AAA">
        <w:trPr>
          <w:trHeight w:val="227"/>
          <w:jc w:val="center"/>
        </w:trPr>
        <w:tc>
          <w:tcPr>
            <w:tcW w:w="1545" w:type="pct"/>
            <w:gridSpan w:val="3"/>
            <w:vAlign w:val="center"/>
          </w:tcPr>
          <w:p w14:paraId="7D31A36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55" w:type="pct"/>
            <w:gridSpan w:val="10"/>
            <w:vAlign w:val="center"/>
          </w:tcPr>
          <w:p w14:paraId="745739DA" w14:textId="77777777" w:rsidR="00494424" w:rsidRPr="00887557" w:rsidRDefault="00E55B82" w:rsidP="008E1BFA">
            <w:pPr>
              <w:spacing w:after="60"/>
              <w:rPr>
                <w:b/>
                <w:bCs/>
                <w:lang w:val="sr-Cyrl-CS"/>
              </w:rPr>
            </w:pPr>
            <w:hyperlink r:id="rId4" w:history="1">
              <w:r w:rsidR="00380A58" w:rsidRPr="00C87BA4">
                <w:rPr>
                  <w:rStyle w:val="Hyperlink"/>
                  <w:b/>
                  <w:bCs/>
                  <w:lang w:val="sr-Cyrl-CS"/>
                </w:rPr>
                <w:t>Маја Милановић</w:t>
              </w:r>
            </w:hyperlink>
          </w:p>
        </w:tc>
      </w:tr>
      <w:tr w:rsidR="00494424" w:rsidRPr="00A22864" w14:paraId="5257D979" w14:textId="77777777" w:rsidTr="00F21AAA">
        <w:trPr>
          <w:trHeight w:val="227"/>
          <w:jc w:val="center"/>
        </w:trPr>
        <w:tc>
          <w:tcPr>
            <w:tcW w:w="1545" w:type="pct"/>
            <w:gridSpan w:val="3"/>
            <w:vAlign w:val="center"/>
          </w:tcPr>
          <w:p w14:paraId="04FC8DF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55" w:type="pct"/>
            <w:gridSpan w:val="10"/>
            <w:vAlign w:val="center"/>
          </w:tcPr>
          <w:p w14:paraId="67DE3303" w14:textId="77777777" w:rsidR="00494424" w:rsidRPr="00A22864" w:rsidRDefault="00380A5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58AF7E41" w14:textId="77777777" w:rsidTr="00F21AAA">
        <w:trPr>
          <w:trHeight w:val="227"/>
          <w:jc w:val="center"/>
        </w:trPr>
        <w:tc>
          <w:tcPr>
            <w:tcW w:w="1545" w:type="pct"/>
            <w:gridSpan w:val="3"/>
            <w:vAlign w:val="center"/>
          </w:tcPr>
          <w:p w14:paraId="0F3ED99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55" w:type="pct"/>
            <w:gridSpan w:val="10"/>
            <w:vAlign w:val="center"/>
          </w:tcPr>
          <w:p w14:paraId="792D44A6" w14:textId="77777777" w:rsidR="00494424" w:rsidRPr="00A22864" w:rsidRDefault="00380A5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Фармацеутска хемија</w:t>
            </w:r>
          </w:p>
        </w:tc>
      </w:tr>
      <w:tr w:rsidR="00975A90" w:rsidRPr="00A22864" w14:paraId="69F4D8C0" w14:textId="77777777" w:rsidTr="00F21AAA">
        <w:trPr>
          <w:trHeight w:val="227"/>
          <w:jc w:val="center"/>
        </w:trPr>
        <w:tc>
          <w:tcPr>
            <w:tcW w:w="1075" w:type="pct"/>
            <w:gridSpan w:val="2"/>
            <w:vAlign w:val="center"/>
          </w:tcPr>
          <w:p w14:paraId="5F8B577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0" w:type="pct"/>
            <w:vAlign w:val="center"/>
          </w:tcPr>
          <w:p w14:paraId="7FA70728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52" w:type="pct"/>
            <w:gridSpan w:val="3"/>
            <w:vAlign w:val="center"/>
          </w:tcPr>
          <w:p w14:paraId="45CA79B3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403" w:type="pct"/>
            <w:gridSpan w:val="7"/>
            <w:vAlign w:val="center"/>
          </w:tcPr>
          <w:p w14:paraId="03AB9EB9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26958439" w14:textId="77777777" w:rsidTr="00F21AAA">
        <w:trPr>
          <w:trHeight w:val="227"/>
          <w:jc w:val="center"/>
        </w:trPr>
        <w:tc>
          <w:tcPr>
            <w:tcW w:w="1075" w:type="pct"/>
            <w:gridSpan w:val="2"/>
            <w:vAlign w:val="center"/>
          </w:tcPr>
          <w:p w14:paraId="712C2AC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0" w:type="pct"/>
            <w:vAlign w:val="center"/>
          </w:tcPr>
          <w:p w14:paraId="4671AC6B" w14:textId="77777777" w:rsidR="00494424" w:rsidRPr="00A22864" w:rsidRDefault="00380A5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2021</w:t>
            </w:r>
          </w:p>
        </w:tc>
        <w:tc>
          <w:tcPr>
            <w:tcW w:w="1052" w:type="pct"/>
            <w:gridSpan w:val="3"/>
            <w:vAlign w:val="center"/>
          </w:tcPr>
          <w:p w14:paraId="11F07198" w14:textId="77777777" w:rsidR="00494424" w:rsidRPr="00A22864" w:rsidRDefault="00380A5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403" w:type="pct"/>
            <w:gridSpan w:val="7"/>
            <w:vAlign w:val="center"/>
          </w:tcPr>
          <w:p w14:paraId="50429D33" w14:textId="77777777" w:rsidR="00494424" w:rsidRPr="00A22864" w:rsidRDefault="00380A5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Фармацеутска хемија</w:t>
            </w:r>
          </w:p>
        </w:tc>
      </w:tr>
      <w:tr w:rsidR="00975A90" w:rsidRPr="00A22864" w14:paraId="645054F5" w14:textId="77777777" w:rsidTr="00F21AAA">
        <w:trPr>
          <w:trHeight w:val="227"/>
          <w:jc w:val="center"/>
        </w:trPr>
        <w:tc>
          <w:tcPr>
            <w:tcW w:w="1075" w:type="pct"/>
            <w:gridSpan w:val="2"/>
            <w:vAlign w:val="center"/>
          </w:tcPr>
          <w:p w14:paraId="50FE384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0" w:type="pct"/>
            <w:vAlign w:val="center"/>
          </w:tcPr>
          <w:p w14:paraId="43C0DC45" w14:textId="77777777" w:rsidR="00494424" w:rsidRPr="00A22864" w:rsidRDefault="00380A5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2016</w:t>
            </w:r>
          </w:p>
        </w:tc>
        <w:tc>
          <w:tcPr>
            <w:tcW w:w="1052" w:type="pct"/>
            <w:gridSpan w:val="3"/>
            <w:vAlign w:val="center"/>
          </w:tcPr>
          <w:p w14:paraId="58CF27EB" w14:textId="77777777" w:rsidR="00494424" w:rsidRPr="00A22864" w:rsidRDefault="00380A5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403" w:type="pct"/>
            <w:gridSpan w:val="7"/>
            <w:vAlign w:val="center"/>
          </w:tcPr>
          <w:p w14:paraId="1E3B4EF2" w14:textId="77777777" w:rsidR="00494424" w:rsidRPr="00A22864" w:rsidRDefault="00C83407" w:rsidP="008E1BFA">
            <w:pPr>
              <w:spacing w:after="60"/>
              <w:rPr>
                <w:lang w:val="sr-Cyrl-CS"/>
              </w:rPr>
            </w:pPr>
            <w:r>
              <w:t>Медицинске науке - ф</w:t>
            </w:r>
            <w:r w:rsidR="00380A58">
              <w:rPr>
                <w:lang w:val="sr-Cyrl-CS"/>
              </w:rPr>
              <w:t>армација</w:t>
            </w:r>
          </w:p>
        </w:tc>
      </w:tr>
      <w:tr w:rsidR="00975A90" w:rsidRPr="00A22864" w14:paraId="1F6643EB" w14:textId="77777777" w:rsidTr="00F21AAA">
        <w:trPr>
          <w:trHeight w:val="227"/>
          <w:jc w:val="center"/>
        </w:trPr>
        <w:tc>
          <w:tcPr>
            <w:tcW w:w="1075" w:type="pct"/>
            <w:gridSpan w:val="2"/>
            <w:vAlign w:val="center"/>
          </w:tcPr>
          <w:p w14:paraId="78D819E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0" w:type="pct"/>
            <w:vAlign w:val="center"/>
          </w:tcPr>
          <w:p w14:paraId="1567EB59" w14:textId="77777777" w:rsidR="00494424" w:rsidRPr="00A22864" w:rsidRDefault="00380A5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  <w:tc>
          <w:tcPr>
            <w:tcW w:w="1052" w:type="pct"/>
            <w:gridSpan w:val="3"/>
            <w:vAlign w:val="center"/>
          </w:tcPr>
          <w:p w14:paraId="4EBC832F" w14:textId="77777777" w:rsidR="00494424" w:rsidRPr="00A22864" w:rsidRDefault="00380A5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403" w:type="pct"/>
            <w:gridSpan w:val="7"/>
            <w:vAlign w:val="center"/>
          </w:tcPr>
          <w:p w14:paraId="31017159" w14:textId="77777777" w:rsidR="00494424" w:rsidRPr="00A22864" w:rsidRDefault="00380A5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Фармација</w:t>
            </w:r>
          </w:p>
        </w:tc>
      </w:tr>
      <w:tr w:rsidR="00494424" w:rsidRPr="00A22864" w14:paraId="3CD94A95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148470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2617D8" w:rsidRPr="00A22864" w14:paraId="1D35772E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770EFFB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40" w:type="pct"/>
            <w:gridSpan w:val="4"/>
            <w:vAlign w:val="center"/>
          </w:tcPr>
          <w:p w14:paraId="1574AAD5" w14:textId="77777777"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26" w:type="pct"/>
            <w:gridSpan w:val="2"/>
            <w:vAlign w:val="center"/>
          </w:tcPr>
          <w:p w14:paraId="37CA6C6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3" w:type="pct"/>
            <w:gridSpan w:val="2"/>
            <w:vAlign w:val="center"/>
          </w:tcPr>
          <w:p w14:paraId="6BAD2F5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96" w:type="pct"/>
            <w:gridSpan w:val="4"/>
            <w:vAlign w:val="center"/>
          </w:tcPr>
          <w:p w14:paraId="6DFCFAF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2617D8" w:rsidRPr="00A22864" w14:paraId="7BCEABE1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2729ED43" w14:textId="77777777" w:rsidR="00494424" w:rsidRPr="00A22864" w:rsidRDefault="00380A5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940" w:type="pct"/>
            <w:gridSpan w:val="4"/>
            <w:vAlign w:val="center"/>
          </w:tcPr>
          <w:p w14:paraId="0E7FFD1B" w14:textId="77777777" w:rsidR="00494424" w:rsidRPr="00A22864" w:rsidRDefault="00380A5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626" w:type="pct"/>
            <w:gridSpan w:val="2"/>
            <w:vAlign w:val="center"/>
          </w:tcPr>
          <w:p w14:paraId="5F1DBF83" w14:textId="77777777" w:rsidR="00494424" w:rsidRPr="00A22864" w:rsidRDefault="00380A5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643" w:type="pct"/>
            <w:gridSpan w:val="2"/>
            <w:vAlign w:val="center"/>
          </w:tcPr>
          <w:p w14:paraId="1348E21A" w14:textId="77777777" w:rsidR="00494424" w:rsidRPr="00A22864" w:rsidRDefault="00380A5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496" w:type="pct"/>
            <w:gridSpan w:val="4"/>
            <w:vAlign w:val="center"/>
          </w:tcPr>
          <w:p w14:paraId="6E16CD4B" w14:textId="77777777" w:rsidR="00494424" w:rsidRPr="00A22864" w:rsidRDefault="00380A5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494424" w:rsidRPr="00A22864" w14:paraId="49DF2166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2A4DDD6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7DA7F2D9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0112AE9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2617D8" w:rsidRPr="00A22864" w14:paraId="0A3C95AC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2F1C769A" w14:textId="77777777"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50" w:type="pct"/>
            <w:gridSpan w:val="9"/>
          </w:tcPr>
          <w:p w14:paraId="71FED0E0" w14:textId="77777777"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63" w:type="pct"/>
          </w:tcPr>
          <w:p w14:paraId="57A026E5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96" w:type="pct"/>
          </w:tcPr>
          <w:p w14:paraId="36011368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96" w:type="pct"/>
          </w:tcPr>
          <w:p w14:paraId="62524C0E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CF482C" w:rsidRPr="00A22864" w14:paraId="53B33977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3112D1E3" w14:textId="133275C2" w:rsidR="00CF482C" w:rsidRPr="00CF482C" w:rsidRDefault="00CF482C" w:rsidP="00A151E6">
            <w:pPr>
              <w:spacing w:line="276" w:lineRule="auto"/>
              <w:ind w:left="-23"/>
              <w:jc w:val="center"/>
            </w:pPr>
            <w:r w:rsidRPr="00CF482C">
              <w:t>1.</w:t>
            </w:r>
          </w:p>
        </w:tc>
        <w:tc>
          <w:tcPr>
            <w:tcW w:w="3450" w:type="pct"/>
            <w:gridSpan w:val="9"/>
            <w:vAlign w:val="center"/>
          </w:tcPr>
          <w:p w14:paraId="172233DB" w14:textId="77777777" w:rsidR="00CF482C" w:rsidRPr="00CF482C" w:rsidRDefault="00CF482C" w:rsidP="00CF482C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 xml:space="preserve">Djuric L, </w:t>
            </w:r>
            <w:r w:rsidRPr="00CF482C">
              <w:rPr>
                <w:b/>
                <w:bCs/>
                <w:sz w:val="20"/>
                <w:szCs w:val="20"/>
              </w:rPr>
              <w:t>Milanovic M</w:t>
            </w:r>
            <w:r w:rsidRPr="00CF482C">
              <w:rPr>
                <w:sz w:val="20"/>
                <w:szCs w:val="20"/>
              </w:rPr>
              <w:t xml:space="preserve">, </w:t>
            </w:r>
            <w:proofErr w:type="spellStart"/>
            <w:r w:rsidRPr="00CF482C">
              <w:rPr>
                <w:sz w:val="20"/>
                <w:szCs w:val="20"/>
              </w:rPr>
              <w:t>Drljaca-Lero</w:t>
            </w:r>
            <w:proofErr w:type="spellEnd"/>
            <w:r w:rsidRPr="00CF482C">
              <w:rPr>
                <w:sz w:val="20"/>
                <w:szCs w:val="20"/>
              </w:rPr>
              <w:t xml:space="preserve"> J, Milosevic N, Milic N. </w:t>
            </w:r>
            <w:hyperlink r:id="rId5" w:history="1">
              <w:r w:rsidRPr="00CF482C">
                <w:rPr>
                  <w:rStyle w:val="Hyperlink"/>
                  <w:sz w:val="20"/>
                  <w:szCs w:val="20"/>
                </w:rPr>
                <w:t>In silico analysis of endocrine-disrupting potential of triclosan, bisphenol A, and their analogs and derivatives.</w:t>
              </w:r>
            </w:hyperlink>
            <w:r w:rsidRPr="00CF482C">
              <w:rPr>
                <w:sz w:val="20"/>
                <w:szCs w:val="20"/>
              </w:rPr>
              <w:t xml:space="preserve"> J Appl </w:t>
            </w:r>
            <w:proofErr w:type="spellStart"/>
            <w:r w:rsidRPr="00CF482C">
              <w:rPr>
                <w:sz w:val="20"/>
                <w:szCs w:val="20"/>
              </w:rPr>
              <w:t>Toxicol</w:t>
            </w:r>
            <w:proofErr w:type="spellEnd"/>
            <w:r w:rsidRPr="00CF482C">
              <w:rPr>
                <w:sz w:val="20"/>
                <w:szCs w:val="20"/>
              </w:rPr>
              <w:t xml:space="preserve">. 2024 Aug 11. </w:t>
            </w:r>
          </w:p>
          <w:p w14:paraId="3A0AC8AF" w14:textId="7058BB9C" w:rsidR="00CF482C" w:rsidRPr="00CF482C" w:rsidRDefault="00CF482C" w:rsidP="00CF482C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CF482C">
              <w:rPr>
                <w:sz w:val="20"/>
                <w:szCs w:val="20"/>
              </w:rPr>
              <w:t>doi</w:t>
            </w:r>
            <w:proofErr w:type="spellEnd"/>
            <w:r w:rsidRPr="00CF482C">
              <w:rPr>
                <w:sz w:val="20"/>
                <w:szCs w:val="20"/>
              </w:rPr>
              <w:t>: 10.1002/jat.4685.</w:t>
            </w:r>
          </w:p>
        </w:tc>
        <w:tc>
          <w:tcPr>
            <w:tcW w:w="463" w:type="pct"/>
            <w:vAlign w:val="center"/>
          </w:tcPr>
          <w:p w14:paraId="576531A1" w14:textId="4870B33F" w:rsidR="00CF482C" w:rsidRPr="00CF482C" w:rsidRDefault="00CF482C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 xml:space="preserve"> 48/94</w:t>
            </w:r>
          </w:p>
          <w:p w14:paraId="4AC1A589" w14:textId="22A53E65" w:rsidR="00CF482C" w:rsidRPr="00CF482C" w:rsidRDefault="00CF482C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(2023)</w:t>
            </w:r>
          </w:p>
        </w:tc>
        <w:tc>
          <w:tcPr>
            <w:tcW w:w="396" w:type="pct"/>
            <w:vAlign w:val="center"/>
          </w:tcPr>
          <w:p w14:paraId="120755F9" w14:textId="60885945" w:rsidR="00CF482C" w:rsidRPr="00CF482C" w:rsidRDefault="00CF482C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 xml:space="preserve">  22</w:t>
            </w:r>
          </w:p>
          <w:p w14:paraId="01F848F2" w14:textId="3343BB2E" w:rsidR="00CF482C" w:rsidRPr="00CF482C" w:rsidRDefault="00CF482C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(2023)</w:t>
            </w:r>
          </w:p>
        </w:tc>
        <w:tc>
          <w:tcPr>
            <w:tcW w:w="396" w:type="pct"/>
            <w:vAlign w:val="center"/>
          </w:tcPr>
          <w:p w14:paraId="34E44334" w14:textId="032266E7" w:rsidR="00CF482C" w:rsidRPr="00CF482C" w:rsidRDefault="00CF482C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 xml:space="preserve">  2.7</w:t>
            </w:r>
          </w:p>
          <w:p w14:paraId="2D132D07" w14:textId="3C486988" w:rsidR="00CF482C" w:rsidRPr="00CF482C" w:rsidRDefault="00CF482C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(2023)</w:t>
            </w:r>
          </w:p>
        </w:tc>
      </w:tr>
      <w:tr w:rsidR="00CF482C" w:rsidRPr="00A22864" w14:paraId="5EC27CAA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0D2A4C53" w14:textId="2AA0EB3C" w:rsidR="00CF482C" w:rsidRPr="00CF482C" w:rsidRDefault="00CF482C" w:rsidP="00A151E6">
            <w:pPr>
              <w:spacing w:line="276" w:lineRule="auto"/>
              <w:ind w:left="-23"/>
              <w:jc w:val="center"/>
            </w:pPr>
            <w:r w:rsidRPr="00CF482C">
              <w:t>2.</w:t>
            </w:r>
          </w:p>
        </w:tc>
        <w:tc>
          <w:tcPr>
            <w:tcW w:w="3450" w:type="pct"/>
            <w:gridSpan w:val="9"/>
            <w:vAlign w:val="center"/>
          </w:tcPr>
          <w:p w14:paraId="2ABECD57" w14:textId="080D26DA" w:rsidR="00CF482C" w:rsidRPr="00CF482C" w:rsidRDefault="00CF482C" w:rsidP="00CF482C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 xml:space="preserve">Milosevic N, </w:t>
            </w:r>
            <w:r w:rsidRPr="00CF482C">
              <w:rPr>
                <w:b/>
                <w:bCs/>
                <w:sz w:val="20"/>
                <w:szCs w:val="20"/>
              </w:rPr>
              <w:t>Milanovic M</w:t>
            </w:r>
            <w:r w:rsidRPr="00CF482C">
              <w:rPr>
                <w:sz w:val="20"/>
                <w:szCs w:val="20"/>
              </w:rPr>
              <w:t xml:space="preserve">, </w:t>
            </w:r>
            <w:proofErr w:type="spellStart"/>
            <w:r w:rsidRPr="00CF482C">
              <w:rPr>
                <w:sz w:val="20"/>
                <w:szCs w:val="20"/>
              </w:rPr>
              <w:t>Sazdanic-Velikic</w:t>
            </w:r>
            <w:proofErr w:type="spellEnd"/>
            <w:r w:rsidRPr="00CF482C">
              <w:rPr>
                <w:sz w:val="20"/>
                <w:szCs w:val="20"/>
              </w:rPr>
              <w:t xml:space="preserve"> D, </w:t>
            </w:r>
            <w:proofErr w:type="spellStart"/>
            <w:r w:rsidRPr="00CF482C">
              <w:rPr>
                <w:sz w:val="20"/>
                <w:szCs w:val="20"/>
              </w:rPr>
              <w:t>Sudji</w:t>
            </w:r>
            <w:proofErr w:type="spellEnd"/>
            <w:r w:rsidRPr="00CF482C">
              <w:rPr>
                <w:sz w:val="20"/>
                <w:szCs w:val="20"/>
              </w:rPr>
              <w:t xml:space="preserve"> J, Jovicic-Bata J, </w:t>
            </w:r>
            <w:proofErr w:type="spellStart"/>
            <w:r w:rsidRPr="00CF482C">
              <w:rPr>
                <w:sz w:val="20"/>
                <w:szCs w:val="20"/>
              </w:rPr>
              <w:t>Spanovic</w:t>
            </w:r>
            <w:proofErr w:type="spellEnd"/>
            <w:r w:rsidRPr="00CF482C">
              <w:rPr>
                <w:sz w:val="20"/>
                <w:szCs w:val="20"/>
              </w:rPr>
              <w:t xml:space="preserve"> M, </w:t>
            </w:r>
            <w:proofErr w:type="spellStart"/>
            <w:r w:rsidRPr="00CF482C">
              <w:rPr>
                <w:sz w:val="20"/>
                <w:szCs w:val="20"/>
              </w:rPr>
              <w:t>Sevo</w:t>
            </w:r>
            <w:proofErr w:type="spellEnd"/>
            <w:r w:rsidRPr="00CF482C">
              <w:rPr>
                <w:sz w:val="20"/>
                <w:szCs w:val="20"/>
              </w:rPr>
              <w:t xml:space="preserve"> M, Lukic-</w:t>
            </w:r>
            <w:proofErr w:type="spellStart"/>
            <w:r w:rsidRPr="00CF482C">
              <w:rPr>
                <w:sz w:val="20"/>
                <w:szCs w:val="20"/>
              </w:rPr>
              <w:t>Sarkanovic</w:t>
            </w:r>
            <w:proofErr w:type="spellEnd"/>
            <w:r w:rsidRPr="00CF482C">
              <w:rPr>
                <w:sz w:val="20"/>
                <w:szCs w:val="20"/>
              </w:rPr>
              <w:t xml:space="preserve"> M, Torovic </w:t>
            </w:r>
            <w:proofErr w:type="spellStart"/>
            <w:r w:rsidRPr="00CF482C">
              <w:rPr>
                <w:sz w:val="20"/>
                <w:szCs w:val="20"/>
              </w:rPr>
              <w:t>Lj</w:t>
            </w:r>
            <w:proofErr w:type="spellEnd"/>
            <w:r w:rsidRPr="00CF482C">
              <w:rPr>
                <w:sz w:val="20"/>
                <w:szCs w:val="20"/>
              </w:rPr>
              <w:t xml:space="preserve">, Bijelovic S, Milic N. </w:t>
            </w:r>
            <w:hyperlink r:id="rId6" w:history="1">
              <w:r w:rsidRPr="00CF482C">
                <w:rPr>
                  <w:rStyle w:val="Hyperlink"/>
                  <w:sz w:val="20"/>
                  <w:szCs w:val="20"/>
                </w:rPr>
                <w:t>Biomonitoring Study of Toxic Metal(loid)s: Levels in Lung Adenocarcinoma Patients</w:t>
              </w:r>
            </w:hyperlink>
            <w:r w:rsidRPr="00CF482C">
              <w:rPr>
                <w:sz w:val="20"/>
                <w:szCs w:val="20"/>
              </w:rPr>
              <w:t>.</w:t>
            </w:r>
            <w:r w:rsidR="00BC1678">
              <w:rPr>
                <w:sz w:val="20"/>
                <w:szCs w:val="20"/>
              </w:rPr>
              <w:t xml:space="preserve"> </w:t>
            </w:r>
            <w:r w:rsidRPr="00CF482C">
              <w:rPr>
                <w:sz w:val="20"/>
                <w:szCs w:val="20"/>
              </w:rPr>
              <w:t>Toxics. 2024;12(7):490.</w:t>
            </w:r>
          </w:p>
        </w:tc>
        <w:tc>
          <w:tcPr>
            <w:tcW w:w="463" w:type="pct"/>
            <w:vAlign w:val="center"/>
          </w:tcPr>
          <w:p w14:paraId="0DAF4D0D" w14:textId="6E1BAC6A" w:rsidR="00CF482C" w:rsidRPr="00CF482C" w:rsidRDefault="00CF482C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 xml:space="preserve"> 20/94</w:t>
            </w:r>
          </w:p>
          <w:p w14:paraId="74D85D7E" w14:textId="0C13398D" w:rsidR="00CF482C" w:rsidRPr="00CF482C" w:rsidRDefault="00CF482C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(2023)</w:t>
            </w:r>
          </w:p>
        </w:tc>
        <w:tc>
          <w:tcPr>
            <w:tcW w:w="396" w:type="pct"/>
            <w:vAlign w:val="center"/>
          </w:tcPr>
          <w:p w14:paraId="73C9D78F" w14:textId="593E747B" w:rsidR="00CF482C" w:rsidRPr="00CF482C" w:rsidRDefault="00CF482C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 xml:space="preserve">   21</w:t>
            </w:r>
          </w:p>
          <w:p w14:paraId="2B879147" w14:textId="0CE95E17" w:rsidR="00CF482C" w:rsidRPr="00CF482C" w:rsidRDefault="00CF482C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(2023)</w:t>
            </w:r>
          </w:p>
        </w:tc>
        <w:tc>
          <w:tcPr>
            <w:tcW w:w="396" w:type="pct"/>
            <w:vAlign w:val="center"/>
          </w:tcPr>
          <w:p w14:paraId="07D8CAA3" w14:textId="54599CA9" w:rsidR="00CF482C" w:rsidRPr="00CF482C" w:rsidRDefault="00CF482C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 xml:space="preserve">  3.9</w:t>
            </w:r>
          </w:p>
          <w:p w14:paraId="0ADD16DB" w14:textId="2AADF1A2" w:rsidR="00CF482C" w:rsidRPr="00CF482C" w:rsidRDefault="00CF482C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(2023)</w:t>
            </w:r>
          </w:p>
        </w:tc>
      </w:tr>
      <w:tr w:rsidR="00A151E6" w:rsidRPr="00A22864" w14:paraId="39EAF70E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60B35473" w14:textId="6AAAD323" w:rsidR="00A151E6" w:rsidRPr="00CF482C" w:rsidRDefault="00CF482C" w:rsidP="00A151E6">
            <w:pPr>
              <w:spacing w:line="276" w:lineRule="auto"/>
              <w:ind w:left="-23"/>
              <w:jc w:val="center"/>
            </w:pPr>
            <w:r w:rsidRPr="00CF482C">
              <w:t>3</w:t>
            </w:r>
            <w:r w:rsidR="00A151E6"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5ABBAA2D" w14:textId="0FFC2A97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CF482C">
              <w:rPr>
                <w:sz w:val="20"/>
                <w:szCs w:val="20"/>
              </w:rPr>
              <w:t>Cacciola</w:t>
            </w:r>
            <w:proofErr w:type="spellEnd"/>
            <w:r w:rsidRPr="00CF482C">
              <w:rPr>
                <w:sz w:val="20"/>
                <w:szCs w:val="20"/>
              </w:rPr>
              <w:t xml:space="preserve"> NA, De </w:t>
            </w:r>
            <w:proofErr w:type="spellStart"/>
            <w:r w:rsidRPr="00CF482C">
              <w:rPr>
                <w:sz w:val="20"/>
                <w:szCs w:val="20"/>
              </w:rPr>
              <w:t>Cicco</w:t>
            </w:r>
            <w:proofErr w:type="spellEnd"/>
            <w:r w:rsidRPr="00CF482C">
              <w:rPr>
                <w:sz w:val="20"/>
                <w:szCs w:val="20"/>
              </w:rPr>
              <w:t xml:space="preserve"> P, </w:t>
            </w:r>
            <w:r w:rsidRPr="00CF482C">
              <w:rPr>
                <w:b/>
                <w:bCs/>
                <w:sz w:val="20"/>
                <w:szCs w:val="20"/>
              </w:rPr>
              <w:t>Milanovic M,</w:t>
            </w:r>
            <w:r w:rsidRPr="00CF482C">
              <w:rPr>
                <w:sz w:val="20"/>
                <w:szCs w:val="20"/>
              </w:rPr>
              <w:t xml:space="preserve"> Milovanovic I, </w:t>
            </w:r>
            <w:proofErr w:type="spellStart"/>
            <w:r w:rsidRPr="00CF482C">
              <w:rPr>
                <w:sz w:val="20"/>
                <w:szCs w:val="20"/>
              </w:rPr>
              <w:t>Misan</w:t>
            </w:r>
            <w:proofErr w:type="spellEnd"/>
            <w:r w:rsidRPr="00CF482C">
              <w:rPr>
                <w:sz w:val="20"/>
                <w:szCs w:val="20"/>
              </w:rPr>
              <w:t xml:space="preserve"> A, Kojic D, et al. </w:t>
            </w:r>
            <w:hyperlink r:id="rId7" w:history="1">
              <w:r w:rsidRPr="00CF482C">
                <w:rPr>
                  <w:rStyle w:val="Hyperlink"/>
                  <w:sz w:val="20"/>
                  <w:szCs w:val="20"/>
                </w:rPr>
                <w:t xml:space="preserve">Role of </w:t>
              </w:r>
              <w:proofErr w:type="spellStart"/>
              <w:r w:rsidRPr="00CF482C">
                <w:rPr>
                  <w:rStyle w:val="Hyperlink"/>
                  <w:sz w:val="20"/>
                  <w:szCs w:val="20"/>
                </w:rPr>
                <w:t>Arthrospira</w:t>
              </w:r>
              <w:proofErr w:type="spellEnd"/>
              <w:r w:rsidRPr="00CF482C">
                <w:rPr>
                  <w:rStyle w:val="Hyperlink"/>
                  <w:sz w:val="20"/>
                  <w:szCs w:val="20"/>
                </w:rPr>
                <w:t xml:space="preserve"> Platensis in Preventing and Treating High-Fat Diet-Induced Hypercholesterolemia in Adult Rats.</w:t>
              </w:r>
            </w:hyperlink>
            <w:r w:rsidRPr="00CF482C">
              <w:rPr>
                <w:sz w:val="20"/>
                <w:szCs w:val="20"/>
              </w:rPr>
              <w:t xml:space="preserve"> Nutrients. 2024;16(12):1827.</w:t>
            </w:r>
          </w:p>
        </w:tc>
        <w:tc>
          <w:tcPr>
            <w:tcW w:w="463" w:type="pct"/>
            <w:vAlign w:val="center"/>
          </w:tcPr>
          <w:p w14:paraId="46710981" w14:textId="77777777" w:rsidR="00A151E6" w:rsidRPr="00CF482C" w:rsidRDefault="00A151E6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18/89</w:t>
            </w:r>
          </w:p>
          <w:p w14:paraId="6C7C577D" w14:textId="79866EFB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(2023)</w:t>
            </w:r>
          </w:p>
        </w:tc>
        <w:tc>
          <w:tcPr>
            <w:tcW w:w="396" w:type="pct"/>
            <w:vAlign w:val="center"/>
          </w:tcPr>
          <w:p w14:paraId="37C93A2A" w14:textId="77777777" w:rsidR="00A151E6" w:rsidRPr="00CF482C" w:rsidRDefault="00A151E6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21</w:t>
            </w:r>
          </w:p>
          <w:p w14:paraId="793539C3" w14:textId="3DC94136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(2023)</w:t>
            </w:r>
          </w:p>
        </w:tc>
        <w:tc>
          <w:tcPr>
            <w:tcW w:w="396" w:type="pct"/>
            <w:vAlign w:val="center"/>
          </w:tcPr>
          <w:p w14:paraId="26471BBF" w14:textId="77777777" w:rsidR="00A151E6" w:rsidRPr="00CF482C" w:rsidRDefault="00A151E6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4.8</w:t>
            </w:r>
          </w:p>
          <w:p w14:paraId="09F5E8A7" w14:textId="11002277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(2023)</w:t>
            </w:r>
          </w:p>
        </w:tc>
      </w:tr>
      <w:tr w:rsidR="00F21AAA" w:rsidRPr="00A22864" w14:paraId="3E77897F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1D3FC1F6" w14:textId="6E9554F1" w:rsidR="00F21AAA" w:rsidRPr="00CF482C" w:rsidRDefault="00CF482C" w:rsidP="00F21AAA">
            <w:pPr>
              <w:spacing w:line="276" w:lineRule="auto"/>
              <w:ind w:left="-23"/>
              <w:jc w:val="center"/>
            </w:pPr>
            <w:r w:rsidRPr="00CF482C">
              <w:t>4</w:t>
            </w:r>
            <w:r w:rsidR="00F21AAA"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3200AB4C" w14:textId="3F1DC703" w:rsidR="00F21AAA" w:rsidRPr="00CF482C" w:rsidRDefault="00F21AAA" w:rsidP="00F21AAA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CF482C">
              <w:rPr>
                <w:sz w:val="20"/>
                <w:szCs w:val="20"/>
              </w:rPr>
              <w:t>Paravati</w:t>
            </w:r>
            <w:proofErr w:type="spellEnd"/>
            <w:r w:rsidRPr="00CF482C">
              <w:rPr>
                <w:sz w:val="20"/>
                <w:szCs w:val="20"/>
              </w:rPr>
              <w:t xml:space="preserve"> MR, Procopio AC, </w:t>
            </w:r>
            <w:r w:rsidRPr="00CF482C">
              <w:rPr>
                <w:b/>
                <w:bCs/>
                <w:sz w:val="20"/>
                <w:szCs w:val="20"/>
              </w:rPr>
              <w:t>Milanovic M</w:t>
            </w:r>
            <w:r w:rsidRPr="00CF482C">
              <w:rPr>
                <w:sz w:val="20"/>
                <w:szCs w:val="20"/>
              </w:rPr>
              <w:t xml:space="preserve">, </w:t>
            </w:r>
            <w:proofErr w:type="spellStart"/>
            <w:r w:rsidRPr="00CF482C">
              <w:rPr>
                <w:sz w:val="20"/>
                <w:szCs w:val="20"/>
              </w:rPr>
              <w:t>Scarlata</w:t>
            </w:r>
            <w:proofErr w:type="spellEnd"/>
            <w:r w:rsidRPr="00CF482C">
              <w:rPr>
                <w:sz w:val="20"/>
                <w:szCs w:val="20"/>
              </w:rPr>
              <w:t xml:space="preserve"> G, Guido M, Milosevic N, </w:t>
            </w:r>
            <w:proofErr w:type="spellStart"/>
            <w:r w:rsidRPr="00CF482C">
              <w:rPr>
                <w:sz w:val="20"/>
                <w:szCs w:val="20"/>
              </w:rPr>
              <w:t>Ruzic</w:t>
            </w:r>
            <w:proofErr w:type="spellEnd"/>
            <w:r w:rsidRPr="00CF482C">
              <w:rPr>
                <w:sz w:val="20"/>
                <w:szCs w:val="20"/>
              </w:rPr>
              <w:t xml:space="preserve"> M, Milic N, et al. </w:t>
            </w:r>
            <w:hyperlink r:id="rId8" w:history="1">
              <w:r w:rsidRPr="00CF482C">
                <w:rPr>
                  <w:rStyle w:val="Hyperlink"/>
                  <w:sz w:val="20"/>
                  <w:szCs w:val="20"/>
                </w:rPr>
                <w:t>Onion Polyphenols as Multi-Target-Directed Ligands in MASLD: A Preliminary Molecular Docking Study</w:t>
              </w:r>
            </w:hyperlink>
            <w:r w:rsidRPr="00CF482C">
              <w:rPr>
                <w:sz w:val="20"/>
                <w:szCs w:val="20"/>
              </w:rPr>
              <w:t>. Nutrients 2024;16(8):1226.</w:t>
            </w:r>
          </w:p>
        </w:tc>
        <w:tc>
          <w:tcPr>
            <w:tcW w:w="463" w:type="pct"/>
            <w:vAlign w:val="center"/>
          </w:tcPr>
          <w:p w14:paraId="6BA1F6BE" w14:textId="77777777" w:rsidR="00F21AAA" w:rsidRPr="00CF482C" w:rsidRDefault="00F21AAA" w:rsidP="00F21AAA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18/89</w:t>
            </w:r>
          </w:p>
          <w:p w14:paraId="5EB84D89" w14:textId="3F83CA7D" w:rsidR="00F21AAA" w:rsidRPr="00CF482C" w:rsidRDefault="00F21AAA" w:rsidP="00F21AA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(2023)</w:t>
            </w:r>
          </w:p>
        </w:tc>
        <w:tc>
          <w:tcPr>
            <w:tcW w:w="396" w:type="pct"/>
            <w:vAlign w:val="center"/>
          </w:tcPr>
          <w:p w14:paraId="05C4E9E0" w14:textId="77777777" w:rsidR="00F21AAA" w:rsidRPr="00CF482C" w:rsidRDefault="00F21AAA" w:rsidP="00F21AAA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21</w:t>
            </w:r>
          </w:p>
          <w:p w14:paraId="5F83732F" w14:textId="6E4CE727" w:rsidR="00F21AAA" w:rsidRPr="00CF482C" w:rsidRDefault="00F21AAA" w:rsidP="00F21AA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(2023)</w:t>
            </w:r>
          </w:p>
        </w:tc>
        <w:tc>
          <w:tcPr>
            <w:tcW w:w="396" w:type="pct"/>
            <w:vAlign w:val="center"/>
          </w:tcPr>
          <w:p w14:paraId="729D371F" w14:textId="77777777" w:rsidR="00F21AAA" w:rsidRPr="00CF482C" w:rsidRDefault="00F21AAA" w:rsidP="00F21AAA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4.8</w:t>
            </w:r>
          </w:p>
          <w:p w14:paraId="50E6B9ED" w14:textId="1458954D" w:rsidR="00F21AAA" w:rsidRPr="00CF482C" w:rsidRDefault="00F21AAA" w:rsidP="00F21AA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(2023)</w:t>
            </w:r>
          </w:p>
        </w:tc>
      </w:tr>
      <w:tr w:rsidR="00A151E6" w:rsidRPr="00A22864" w14:paraId="5E729BE9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7EF8B296" w14:textId="00BB2718" w:rsidR="00A151E6" w:rsidRPr="00CF482C" w:rsidRDefault="00CF482C" w:rsidP="00A151E6">
            <w:pPr>
              <w:spacing w:line="276" w:lineRule="auto"/>
              <w:ind w:left="-23"/>
              <w:jc w:val="center"/>
            </w:pPr>
            <w:r w:rsidRPr="00CF482C">
              <w:t>5</w:t>
            </w:r>
            <w:r w:rsidR="00A151E6"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25E82572" w14:textId="5B35F298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Markovic-</w:t>
            </w:r>
            <w:proofErr w:type="spellStart"/>
            <w:r w:rsidRPr="00CF482C">
              <w:rPr>
                <w:sz w:val="20"/>
                <w:szCs w:val="20"/>
              </w:rPr>
              <w:t>Filipovic</w:t>
            </w:r>
            <w:proofErr w:type="spellEnd"/>
            <w:r w:rsidRPr="00CF482C">
              <w:rPr>
                <w:sz w:val="20"/>
                <w:szCs w:val="20"/>
              </w:rPr>
              <w:t xml:space="preserve"> J, </w:t>
            </w:r>
            <w:proofErr w:type="spellStart"/>
            <w:r w:rsidRPr="00CF482C">
              <w:rPr>
                <w:sz w:val="20"/>
                <w:szCs w:val="20"/>
              </w:rPr>
              <w:t>Ivelja</w:t>
            </w:r>
            <w:proofErr w:type="spellEnd"/>
            <w:r w:rsidRPr="00CF482C">
              <w:rPr>
                <w:sz w:val="20"/>
                <w:szCs w:val="20"/>
              </w:rPr>
              <w:t xml:space="preserve"> I, Vukcevic J, </w:t>
            </w:r>
            <w:r w:rsidRPr="00CF482C">
              <w:rPr>
                <w:b/>
                <w:bCs/>
                <w:sz w:val="20"/>
                <w:szCs w:val="20"/>
              </w:rPr>
              <w:t>Milanovic M</w:t>
            </w:r>
            <w:r w:rsidRPr="00CF482C">
              <w:rPr>
                <w:sz w:val="20"/>
                <w:szCs w:val="20"/>
              </w:rPr>
              <w:t xml:space="preserve">. </w:t>
            </w:r>
            <w:hyperlink r:id="rId9" w:history="1">
              <w:r w:rsidRPr="00CF482C">
                <w:rPr>
                  <w:rStyle w:val="Hyperlink"/>
                  <w:sz w:val="20"/>
                  <w:szCs w:val="20"/>
                </w:rPr>
                <w:t>Protective Effects of Natural Products against Acrylamide-Induced Hepatotoxicity</w:t>
              </w:r>
            </w:hyperlink>
            <w:r w:rsidRPr="00CF482C">
              <w:rPr>
                <w:sz w:val="20"/>
                <w:szCs w:val="20"/>
              </w:rPr>
              <w:t xml:space="preserve">. J Biol </w:t>
            </w:r>
            <w:proofErr w:type="spellStart"/>
            <w:r w:rsidRPr="00CF482C">
              <w:rPr>
                <w:sz w:val="20"/>
                <w:szCs w:val="20"/>
              </w:rPr>
              <w:t>Regul</w:t>
            </w:r>
            <w:proofErr w:type="spellEnd"/>
            <w:r w:rsidRPr="00CF482C">
              <w:rPr>
                <w:sz w:val="20"/>
                <w:szCs w:val="20"/>
              </w:rPr>
              <w:t xml:space="preserve"> </w:t>
            </w:r>
            <w:proofErr w:type="spellStart"/>
            <w:r w:rsidRPr="00CF482C">
              <w:rPr>
                <w:sz w:val="20"/>
                <w:szCs w:val="20"/>
              </w:rPr>
              <w:t>Homeost</w:t>
            </w:r>
            <w:proofErr w:type="spellEnd"/>
            <w:r w:rsidRPr="00CF482C">
              <w:rPr>
                <w:sz w:val="20"/>
                <w:szCs w:val="20"/>
              </w:rPr>
              <w:t xml:space="preserve"> Agents. 2024;38(4):2751-67.</w:t>
            </w:r>
          </w:p>
        </w:tc>
        <w:tc>
          <w:tcPr>
            <w:tcW w:w="463" w:type="pct"/>
            <w:vAlign w:val="center"/>
          </w:tcPr>
          <w:p w14:paraId="44805B5B" w14:textId="77777777" w:rsidR="00A151E6" w:rsidRPr="00CF482C" w:rsidRDefault="00A151E6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29/79</w:t>
            </w:r>
          </w:p>
          <w:p w14:paraId="55F1511E" w14:textId="0B3D920C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(2022)</w:t>
            </w:r>
          </w:p>
        </w:tc>
        <w:tc>
          <w:tcPr>
            <w:tcW w:w="396" w:type="pct"/>
            <w:vAlign w:val="center"/>
          </w:tcPr>
          <w:p w14:paraId="4A981D7E" w14:textId="77777777" w:rsidR="00A151E6" w:rsidRPr="00CF482C" w:rsidRDefault="00A151E6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22</w:t>
            </w:r>
          </w:p>
          <w:p w14:paraId="25C1C969" w14:textId="48B057B8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(2022)</w:t>
            </w:r>
          </w:p>
        </w:tc>
        <w:tc>
          <w:tcPr>
            <w:tcW w:w="396" w:type="pct"/>
            <w:vAlign w:val="center"/>
          </w:tcPr>
          <w:p w14:paraId="2528CF44" w14:textId="77777777" w:rsidR="00A151E6" w:rsidRPr="00CF482C" w:rsidRDefault="00A151E6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3.2</w:t>
            </w:r>
          </w:p>
          <w:p w14:paraId="16588EFF" w14:textId="29A41E60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(2022)</w:t>
            </w:r>
          </w:p>
        </w:tc>
      </w:tr>
      <w:tr w:rsidR="00A151E6" w:rsidRPr="00A22864" w14:paraId="676B1490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0FDB9C4C" w14:textId="328050CA" w:rsidR="00A151E6" w:rsidRPr="00CF482C" w:rsidRDefault="00CF482C" w:rsidP="00A151E6">
            <w:pPr>
              <w:spacing w:line="276" w:lineRule="auto"/>
              <w:ind w:left="-23"/>
              <w:jc w:val="center"/>
            </w:pPr>
            <w:r w:rsidRPr="00CF482C">
              <w:t>6</w:t>
            </w:r>
            <w:r w:rsidR="00A151E6"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7707CD92" w14:textId="6DAF80AC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CF482C">
              <w:rPr>
                <w:sz w:val="20"/>
                <w:szCs w:val="20"/>
              </w:rPr>
              <w:t>Amanatidou</w:t>
            </w:r>
            <w:proofErr w:type="spellEnd"/>
            <w:r w:rsidRPr="00CF482C">
              <w:rPr>
                <w:sz w:val="20"/>
                <w:szCs w:val="20"/>
              </w:rPr>
              <w:t xml:space="preserve"> A, … </w:t>
            </w:r>
            <w:r w:rsidRPr="00CF482C">
              <w:rPr>
                <w:b/>
                <w:bCs/>
                <w:sz w:val="20"/>
                <w:szCs w:val="20"/>
              </w:rPr>
              <w:t>Milanovic Maja</w:t>
            </w:r>
            <w:r w:rsidRPr="00CF482C">
              <w:rPr>
                <w:sz w:val="20"/>
                <w:szCs w:val="20"/>
              </w:rPr>
              <w:t xml:space="preserve">, </w:t>
            </w:r>
            <w:proofErr w:type="spellStart"/>
            <w:r w:rsidRPr="00CF482C">
              <w:rPr>
                <w:sz w:val="20"/>
                <w:szCs w:val="20"/>
              </w:rPr>
              <w:t>Stojanoski</w:t>
            </w:r>
            <w:proofErr w:type="spellEnd"/>
            <w:r w:rsidRPr="00CF482C">
              <w:rPr>
                <w:sz w:val="20"/>
                <w:szCs w:val="20"/>
              </w:rPr>
              <w:t xml:space="preserve"> S, </w:t>
            </w:r>
            <w:proofErr w:type="spellStart"/>
            <w:r w:rsidRPr="00CF482C">
              <w:rPr>
                <w:sz w:val="20"/>
                <w:szCs w:val="20"/>
              </w:rPr>
              <w:t>Bjelan</w:t>
            </w:r>
            <w:proofErr w:type="spellEnd"/>
            <w:r w:rsidRPr="00CF482C">
              <w:rPr>
                <w:sz w:val="20"/>
                <w:szCs w:val="20"/>
              </w:rPr>
              <w:t xml:space="preserve"> Mladen, et al. </w:t>
            </w:r>
            <w:hyperlink r:id="rId10" w:history="1">
              <w:r w:rsidRPr="00CF482C">
                <w:rPr>
                  <w:rStyle w:val="Hyperlink"/>
                  <w:sz w:val="20"/>
                  <w:szCs w:val="20"/>
                </w:rPr>
                <w:t>Plasma Amino Acids in NAFLD Patients with Obesity Are Associated with Steatosis and Fibrosis: Results from the MAST4HEALTH Study.</w:t>
              </w:r>
            </w:hyperlink>
            <w:r w:rsidRPr="00CF482C">
              <w:rPr>
                <w:sz w:val="20"/>
                <w:szCs w:val="20"/>
              </w:rPr>
              <w:t xml:space="preserve"> Metabolites. 2023;13(8):959.</w:t>
            </w:r>
          </w:p>
        </w:tc>
        <w:tc>
          <w:tcPr>
            <w:tcW w:w="463" w:type="pct"/>
            <w:vAlign w:val="center"/>
          </w:tcPr>
          <w:p w14:paraId="01666290" w14:textId="6A5CBAB7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128/285</w:t>
            </w:r>
          </w:p>
        </w:tc>
        <w:tc>
          <w:tcPr>
            <w:tcW w:w="396" w:type="pct"/>
            <w:vAlign w:val="center"/>
          </w:tcPr>
          <w:p w14:paraId="4FDFDFFD" w14:textId="322D3431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22</w:t>
            </w:r>
          </w:p>
        </w:tc>
        <w:tc>
          <w:tcPr>
            <w:tcW w:w="396" w:type="pct"/>
            <w:vAlign w:val="center"/>
          </w:tcPr>
          <w:p w14:paraId="5AA0D729" w14:textId="00D9E64F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3.4</w:t>
            </w:r>
          </w:p>
        </w:tc>
      </w:tr>
      <w:tr w:rsidR="00A151E6" w:rsidRPr="00A22864" w14:paraId="1E4C3ED2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5146A021" w14:textId="6DBA7265" w:rsidR="00A151E6" w:rsidRPr="00CF482C" w:rsidRDefault="00CF482C" w:rsidP="00A151E6">
            <w:pPr>
              <w:spacing w:line="276" w:lineRule="auto"/>
              <w:ind w:left="-23"/>
              <w:jc w:val="center"/>
            </w:pPr>
            <w:r w:rsidRPr="00CF482C">
              <w:t>7</w:t>
            </w:r>
            <w:r w:rsidR="00A151E6"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1D79F81E" w14:textId="724834E0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CF482C">
              <w:rPr>
                <w:b/>
                <w:bCs/>
                <w:sz w:val="20"/>
                <w:szCs w:val="20"/>
              </w:rPr>
              <w:t>Milanović M</w:t>
            </w:r>
            <w:r w:rsidRPr="00CF482C">
              <w:rPr>
                <w:sz w:val="20"/>
                <w:szCs w:val="20"/>
              </w:rPr>
              <w:t xml:space="preserve">, Milošević N, </w:t>
            </w:r>
            <w:proofErr w:type="spellStart"/>
            <w:r w:rsidRPr="00CF482C">
              <w:rPr>
                <w:sz w:val="20"/>
                <w:szCs w:val="20"/>
              </w:rPr>
              <w:t>Milić</w:t>
            </w:r>
            <w:proofErr w:type="spellEnd"/>
            <w:r w:rsidRPr="00CF482C">
              <w:rPr>
                <w:sz w:val="20"/>
                <w:szCs w:val="20"/>
              </w:rPr>
              <w:t xml:space="preserve"> N, </w:t>
            </w:r>
            <w:proofErr w:type="spellStart"/>
            <w:r w:rsidRPr="00CF482C">
              <w:rPr>
                <w:sz w:val="20"/>
                <w:szCs w:val="20"/>
              </w:rPr>
              <w:t>Stojanoska</w:t>
            </w:r>
            <w:proofErr w:type="spellEnd"/>
            <w:r w:rsidRPr="00CF482C">
              <w:rPr>
                <w:sz w:val="20"/>
                <w:szCs w:val="20"/>
              </w:rPr>
              <w:t xml:space="preserve"> MM, Petri E, </w:t>
            </w:r>
            <w:proofErr w:type="spellStart"/>
            <w:r w:rsidRPr="00CF482C">
              <w:rPr>
                <w:sz w:val="20"/>
                <w:szCs w:val="20"/>
              </w:rPr>
              <w:t>Filipović</w:t>
            </w:r>
            <w:proofErr w:type="spellEnd"/>
            <w:r w:rsidRPr="00CF482C">
              <w:rPr>
                <w:sz w:val="20"/>
                <w:szCs w:val="20"/>
              </w:rPr>
              <w:t xml:space="preserve"> JM. </w:t>
            </w:r>
            <w:hyperlink r:id="rId11" w:history="1">
              <w:r w:rsidRPr="00CF482C">
                <w:rPr>
                  <w:rStyle w:val="Hyperlink"/>
                  <w:sz w:val="20"/>
                  <w:szCs w:val="20"/>
                </w:rPr>
                <w:t>Food contaminants and potential risk of diabetes development: A narrative review</w:t>
              </w:r>
            </w:hyperlink>
            <w:r w:rsidRPr="00CF482C">
              <w:rPr>
                <w:sz w:val="20"/>
                <w:szCs w:val="20"/>
              </w:rPr>
              <w:t xml:space="preserve">. World J Diabetes. 2023;14(6):705-723. </w:t>
            </w:r>
          </w:p>
        </w:tc>
        <w:tc>
          <w:tcPr>
            <w:tcW w:w="463" w:type="pct"/>
            <w:vAlign w:val="center"/>
          </w:tcPr>
          <w:p w14:paraId="6B30607A" w14:textId="366CA5C2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38/143</w:t>
            </w:r>
          </w:p>
        </w:tc>
        <w:tc>
          <w:tcPr>
            <w:tcW w:w="396" w:type="pct"/>
            <w:vAlign w:val="center"/>
          </w:tcPr>
          <w:p w14:paraId="166BD812" w14:textId="3F1856FC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21</w:t>
            </w:r>
          </w:p>
        </w:tc>
        <w:tc>
          <w:tcPr>
            <w:tcW w:w="396" w:type="pct"/>
            <w:vAlign w:val="center"/>
          </w:tcPr>
          <w:p w14:paraId="424CFB29" w14:textId="2BDC1CCD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 xml:space="preserve">4.2 </w:t>
            </w:r>
          </w:p>
        </w:tc>
      </w:tr>
      <w:tr w:rsidR="00A151E6" w:rsidRPr="00A22864" w14:paraId="32E3CBAA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6E12B97B" w14:textId="7C3D87BB" w:rsidR="00A151E6" w:rsidRPr="00CF482C" w:rsidRDefault="00CF482C" w:rsidP="00A151E6">
            <w:pPr>
              <w:spacing w:line="276" w:lineRule="auto"/>
              <w:ind w:left="-23"/>
              <w:jc w:val="center"/>
            </w:pPr>
            <w:r w:rsidRPr="00CF482C">
              <w:lastRenderedPageBreak/>
              <w:t>8</w:t>
            </w:r>
            <w:r w:rsidR="00A151E6"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5F62908E" w14:textId="7ED83246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CF482C">
              <w:rPr>
                <w:sz w:val="20"/>
                <w:szCs w:val="20"/>
              </w:rPr>
              <w:t>Milić</w:t>
            </w:r>
            <w:proofErr w:type="spellEnd"/>
            <w:r w:rsidRPr="00CF482C">
              <w:rPr>
                <w:sz w:val="20"/>
                <w:szCs w:val="20"/>
              </w:rPr>
              <w:t xml:space="preserve"> N, </w:t>
            </w:r>
            <w:r w:rsidRPr="00CF482C">
              <w:rPr>
                <w:b/>
                <w:bCs/>
                <w:sz w:val="20"/>
                <w:szCs w:val="20"/>
              </w:rPr>
              <w:t>Milanović M</w:t>
            </w:r>
            <w:r w:rsidRPr="00CF482C">
              <w:rPr>
                <w:sz w:val="20"/>
                <w:szCs w:val="20"/>
              </w:rPr>
              <w:t xml:space="preserve">, </w:t>
            </w:r>
            <w:proofErr w:type="spellStart"/>
            <w:r w:rsidRPr="00CF482C">
              <w:rPr>
                <w:sz w:val="20"/>
                <w:szCs w:val="20"/>
              </w:rPr>
              <w:t>Drljača</w:t>
            </w:r>
            <w:proofErr w:type="spellEnd"/>
            <w:r w:rsidRPr="00CF482C">
              <w:rPr>
                <w:sz w:val="20"/>
                <w:szCs w:val="20"/>
              </w:rPr>
              <w:t xml:space="preserve"> J, </w:t>
            </w:r>
            <w:proofErr w:type="spellStart"/>
            <w:r w:rsidRPr="00CF482C">
              <w:rPr>
                <w:sz w:val="20"/>
                <w:szCs w:val="20"/>
              </w:rPr>
              <w:t>Sudji</w:t>
            </w:r>
            <w:proofErr w:type="spellEnd"/>
            <w:r w:rsidRPr="00CF482C">
              <w:rPr>
                <w:sz w:val="20"/>
                <w:szCs w:val="20"/>
              </w:rPr>
              <w:t xml:space="preserve"> J, Milošević N. </w:t>
            </w:r>
            <w:hyperlink r:id="rId12" w:history="1">
              <w:r w:rsidRPr="00CF482C">
                <w:rPr>
                  <w:rStyle w:val="Hyperlink"/>
                  <w:sz w:val="20"/>
                  <w:szCs w:val="20"/>
                </w:rPr>
                <w:t>Challenges in the Analytical Preparation of a Biological Matrix in Analyses of Endocrine-Disrupting Bisphenols</w:t>
              </w:r>
            </w:hyperlink>
            <w:r w:rsidRPr="00CF482C">
              <w:rPr>
                <w:sz w:val="20"/>
                <w:szCs w:val="20"/>
              </w:rPr>
              <w:t>. Separations. 2023; 10(4):226.</w:t>
            </w:r>
          </w:p>
        </w:tc>
        <w:tc>
          <w:tcPr>
            <w:tcW w:w="463" w:type="pct"/>
            <w:vAlign w:val="center"/>
          </w:tcPr>
          <w:p w14:paraId="63506E93" w14:textId="71F04314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49/86</w:t>
            </w:r>
          </w:p>
        </w:tc>
        <w:tc>
          <w:tcPr>
            <w:tcW w:w="396" w:type="pct"/>
            <w:vAlign w:val="center"/>
          </w:tcPr>
          <w:p w14:paraId="294A4C81" w14:textId="77777777" w:rsidR="00A151E6" w:rsidRPr="00CF482C" w:rsidRDefault="00A151E6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</w:p>
          <w:p w14:paraId="2265BC9E" w14:textId="77777777" w:rsidR="00A151E6" w:rsidRPr="00CF482C" w:rsidRDefault="00A151E6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22</w:t>
            </w:r>
          </w:p>
          <w:p w14:paraId="169A5C9D" w14:textId="0504BB68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3ADFB306" w14:textId="42FDD4C2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2.5</w:t>
            </w:r>
          </w:p>
        </w:tc>
      </w:tr>
      <w:tr w:rsidR="00A151E6" w:rsidRPr="00A22864" w14:paraId="4E55ED0C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68091478" w14:textId="3ED20053" w:rsidR="00A151E6" w:rsidRPr="00CF482C" w:rsidRDefault="00CF482C" w:rsidP="00A151E6">
            <w:pPr>
              <w:spacing w:line="276" w:lineRule="auto"/>
              <w:ind w:left="-23"/>
              <w:jc w:val="center"/>
            </w:pPr>
            <w:r w:rsidRPr="00CF482C">
              <w:t>9</w:t>
            </w:r>
            <w:r w:rsidR="00A151E6"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3F632605" w14:textId="18BCF6CA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 xml:space="preserve">Milankov A, </w:t>
            </w:r>
            <w:r w:rsidRPr="00CF482C">
              <w:rPr>
                <w:b/>
                <w:bCs/>
                <w:sz w:val="20"/>
                <w:szCs w:val="20"/>
              </w:rPr>
              <w:t>Milanović M</w:t>
            </w:r>
            <w:r w:rsidRPr="00CF482C">
              <w:rPr>
                <w:sz w:val="20"/>
                <w:szCs w:val="20"/>
              </w:rPr>
              <w:t xml:space="preserve">, Milošević N, </w:t>
            </w:r>
            <w:proofErr w:type="spellStart"/>
            <w:r w:rsidRPr="00CF482C">
              <w:rPr>
                <w:sz w:val="20"/>
                <w:szCs w:val="20"/>
              </w:rPr>
              <w:t>Sudji</w:t>
            </w:r>
            <w:proofErr w:type="spellEnd"/>
            <w:r w:rsidRPr="00CF482C">
              <w:rPr>
                <w:sz w:val="20"/>
                <w:szCs w:val="20"/>
              </w:rPr>
              <w:t xml:space="preserve"> J, </w:t>
            </w:r>
            <w:proofErr w:type="spellStart"/>
            <w:r w:rsidRPr="00CF482C">
              <w:rPr>
                <w:sz w:val="20"/>
                <w:szCs w:val="20"/>
              </w:rPr>
              <w:t>Pejaković</w:t>
            </w:r>
            <w:proofErr w:type="spellEnd"/>
            <w:r w:rsidRPr="00CF482C">
              <w:rPr>
                <w:sz w:val="20"/>
                <w:szCs w:val="20"/>
              </w:rPr>
              <w:t xml:space="preserve"> S, </w:t>
            </w:r>
            <w:proofErr w:type="spellStart"/>
            <w:r w:rsidRPr="00CF482C">
              <w:rPr>
                <w:sz w:val="20"/>
                <w:szCs w:val="20"/>
              </w:rPr>
              <w:t>Milić</w:t>
            </w:r>
            <w:proofErr w:type="spellEnd"/>
            <w:r w:rsidRPr="00CF482C">
              <w:rPr>
                <w:sz w:val="20"/>
                <w:szCs w:val="20"/>
              </w:rPr>
              <w:t xml:space="preserve"> N, Bjelica A, Medić </w:t>
            </w:r>
            <w:proofErr w:type="spellStart"/>
            <w:r w:rsidRPr="00CF482C">
              <w:rPr>
                <w:sz w:val="20"/>
                <w:szCs w:val="20"/>
              </w:rPr>
              <w:t>Stojanoska</w:t>
            </w:r>
            <w:proofErr w:type="spellEnd"/>
            <w:r w:rsidRPr="00CF482C">
              <w:rPr>
                <w:sz w:val="20"/>
                <w:szCs w:val="20"/>
              </w:rPr>
              <w:t xml:space="preserve"> M. </w:t>
            </w:r>
            <w:hyperlink r:id="rId13" w:history="1">
              <w:r w:rsidRPr="00CF482C">
                <w:rPr>
                  <w:rStyle w:val="Hyperlink"/>
                  <w:sz w:val="20"/>
                  <w:szCs w:val="20"/>
                </w:rPr>
                <w:t>The effects of phthalate exposure on metabolic parameters in polycystic ovary syndrome</w:t>
              </w:r>
            </w:hyperlink>
            <w:r w:rsidRPr="00CF482C">
              <w:rPr>
                <w:sz w:val="20"/>
                <w:szCs w:val="20"/>
              </w:rPr>
              <w:t xml:space="preserve">. Clin </w:t>
            </w:r>
            <w:proofErr w:type="spellStart"/>
            <w:r w:rsidRPr="00CF482C">
              <w:rPr>
                <w:sz w:val="20"/>
                <w:szCs w:val="20"/>
              </w:rPr>
              <w:t>Chim</w:t>
            </w:r>
            <w:proofErr w:type="spellEnd"/>
            <w:r w:rsidRPr="00CF482C">
              <w:rPr>
                <w:sz w:val="20"/>
                <w:szCs w:val="20"/>
              </w:rPr>
              <w:t xml:space="preserve"> Acta. </w:t>
            </w:r>
            <w:proofErr w:type="gramStart"/>
            <w:r w:rsidRPr="00CF482C">
              <w:rPr>
                <w:sz w:val="20"/>
                <w:szCs w:val="20"/>
              </w:rPr>
              <w:t>2023;540:117225</w:t>
            </w:r>
            <w:proofErr w:type="gramEnd"/>
            <w:r w:rsidRPr="00CF48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3" w:type="pct"/>
            <w:vAlign w:val="center"/>
          </w:tcPr>
          <w:p w14:paraId="59B67345" w14:textId="53725DA2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5/29 (2022)</w:t>
            </w:r>
          </w:p>
        </w:tc>
        <w:tc>
          <w:tcPr>
            <w:tcW w:w="396" w:type="pct"/>
            <w:vAlign w:val="center"/>
          </w:tcPr>
          <w:p w14:paraId="54F6ED82" w14:textId="77777777" w:rsidR="00A151E6" w:rsidRPr="00CF482C" w:rsidRDefault="00A151E6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21</w:t>
            </w:r>
          </w:p>
          <w:p w14:paraId="538D14D5" w14:textId="200283B9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(2022)</w:t>
            </w:r>
          </w:p>
        </w:tc>
        <w:tc>
          <w:tcPr>
            <w:tcW w:w="396" w:type="pct"/>
            <w:vAlign w:val="center"/>
          </w:tcPr>
          <w:p w14:paraId="6665114F" w14:textId="342C0FA0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5.0 (2022)</w:t>
            </w:r>
          </w:p>
        </w:tc>
      </w:tr>
      <w:tr w:rsidR="00A151E6" w:rsidRPr="00A22864" w14:paraId="5705C2CF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5173CE09" w14:textId="71DAB36A" w:rsidR="00A151E6" w:rsidRPr="00CF482C" w:rsidRDefault="00CF482C" w:rsidP="00A151E6">
            <w:pPr>
              <w:spacing w:line="276" w:lineRule="auto"/>
              <w:ind w:left="-23"/>
              <w:jc w:val="center"/>
            </w:pPr>
            <w:r w:rsidRPr="00CF482C">
              <w:t>10</w:t>
            </w:r>
            <w:r w:rsidR="00A151E6"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62B3FF97" w14:textId="72BF848B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CF482C">
              <w:rPr>
                <w:sz w:val="20"/>
                <w:szCs w:val="20"/>
              </w:rPr>
              <w:t>Drljača</w:t>
            </w:r>
            <w:proofErr w:type="spellEnd"/>
            <w:r w:rsidRPr="00CF482C">
              <w:rPr>
                <w:sz w:val="20"/>
                <w:szCs w:val="20"/>
              </w:rPr>
              <w:t xml:space="preserve"> J, Milošević N, </w:t>
            </w:r>
            <w:r w:rsidRPr="00CF482C">
              <w:rPr>
                <w:b/>
                <w:bCs/>
                <w:sz w:val="20"/>
                <w:szCs w:val="20"/>
              </w:rPr>
              <w:t>Milanović M</w:t>
            </w:r>
            <w:r w:rsidRPr="00CF482C">
              <w:rPr>
                <w:sz w:val="20"/>
                <w:szCs w:val="20"/>
              </w:rPr>
              <w:t xml:space="preserve">, </w:t>
            </w:r>
            <w:proofErr w:type="spellStart"/>
            <w:r w:rsidRPr="00CF482C">
              <w:rPr>
                <w:sz w:val="20"/>
                <w:szCs w:val="20"/>
              </w:rPr>
              <w:t>Abenavoli</w:t>
            </w:r>
            <w:proofErr w:type="spellEnd"/>
            <w:r w:rsidRPr="00CF482C">
              <w:rPr>
                <w:sz w:val="20"/>
                <w:szCs w:val="20"/>
              </w:rPr>
              <w:t xml:space="preserve"> L, </w:t>
            </w:r>
            <w:proofErr w:type="spellStart"/>
            <w:r w:rsidRPr="00CF482C">
              <w:rPr>
                <w:sz w:val="20"/>
                <w:szCs w:val="20"/>
              </w:rPr>
              <w:t>Milić</w:t>
            </w:r>
            <w:proofErr w:type="spellEnd"/>
            <w:r w:rsidRPr="00CF482C">
              <w:rPr>
                <w:sz w:val="20"/>
                <w:szCs w:val="20"/>
              </w:rPr>
              <w:t xml:space="preserve"> N. </w:t>
            </w:r>
            <w:hyperlink r:id="rId14" w:history="1">
              <w:r w:rsidRPr="00CF482C">
                <w:rPr>
                  <w:rStyle w:val="Hyperlink"/>
                  <w:sz w:val="20"/>
                  <w:szCs w:val="20"/>
                </w:rPr>
                <w:t>When the microbiome helps the brain-current evidence</w:t>
              </w:r>
            </w:hyperlink>
            <w:r w:rsidRPr="00CF482C">
              <w:rPr>
                <w:sz w:val="20"/>
                <w:szCs w:val="20"/>
              </w:rPr>
              <w:t xml:space="preserve">. CNS </w:t>
            </w:r>
            <w:proofErr w:type="spellStart"/>
            <w:r w:rsidRPr="00CF482C">
              <w:rPr>
                <w:sz w:val="20"/>
                <w:szCs w:val="20"/>
              </w:rPr>
              <w:t>Neurosci</w:t>
            </w:r>
            <w:proofErr w:type="spellEnd"/>
            <w:r w:rsidRPr="00CF482C">
              <w:rPr>
                <w:sz w:val="20"/>
                <w:szCs w:val="20"/>
              </w:rPr>
              <w:t xml:space="preserve"> </w:t>
            </w:r>
            <w:proofErr w:type="spellStart"/>
            <w:r w:rsidRPr="00CF482C">
              <w:rPr>
                <w:sz w:val="20"/>
                <w:szCs w:val="20"/>
              </w:rPr>
              <w:t>Ther</w:t>
            </w:r>
            <w:proofErr w:type="spellEnd"/>
            <w:r w:rsidRPr="00CF482C">
              <w:rPr>
                <w:sz w:val="20"/>
                <w:szCs w:val="20"/>
              </w:rPr>
              <w:t xml:space="preserve">. 2023;29 Suppl 1(Suppl 1):43-58. </w:t>
            </w:r>
          </w:p>
        </w:tc>
        <w:tc>
          <w:tcPr>
            <w:tcW w:w="463" w:type="pct"/>
            <w:vAlign w:val="center"/>
          </w:tcPr>
          <w:p w14:paraId="2E613945" w14:textId="7038C0C3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55/270</w:t>
            </w:r>
          </w:p>
        </w:tc>
        <w:tc>
          <w:tcPr>
            <w:tcW w:w="396" w:type="pct"/>
            <w:vAlign w:val="center"/>
          </w:tcPr>
          <w:p w14:paraId="1A077F66" w14:textId="7C727779" w:rsidR="00A151E6" w:rsidRPr="00CF482C" w:rsidRDefault="00A151E6" w:rsidP="00A151E6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 xml:space="preserve">   21</w:t>
            </w:r>
          </w:p>
        </w:tc>
        <w:tc>
          <w:tcPr>
            <w:tcW w:w="396" w:type="pct"/>
            <w:vAlign w:val="center"/>
          </w:tcPr>
          <w:p w14:paraId="2CAF2AB2" w14:textId="128AFDDA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4.8</w:t>
            </w:r>
          </w:p>
        </w:tc>
      </w:tr>
      <w:tr w:rsidR="00A151E6" w:rsidRPr="00A22864" w14:paraId="4B286141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130F585E" w14:textId="7C000E37" w:rsidR="00A151E6" w:rsidRPr="00CF482C" w:rsidRDefault="00CF482C" w:rsidP="00A151E6">
            <w:pPr>
              <w:spacing w:line="276" w:lineRule="auto"/>
              <w:ind w:left="-23"/>
              <w:jc w:val="center"/>
            </w:pPr>
            <w:r w:rsidRPr="00CF482C">
              <w:t>11</w:t>
            </w:r>
            <w:r w:rsidR="00A151E6"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4EBDC778" w14:textId="1A31F95F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CF482C">
              <w:rPr>
                <w:b/>
                <w:bCs/>
                <w:sz w:val="20"/>
                <w:szCs w:val="20"/>
              </w:rPr>
              <w:t>Milanović M</w:t>
            </w:r>
            <w:r w:rsidRPr="00CF482C">
              <w:rPr>
                <w:sz w:val="20"/>
                <w:szCs w:val="20"/>
              </w:rPr>
              <w:t xml:space="preserve">, </w:t>
            </w:r>
            <w:proofErr w:type="spellStart"/>
            <w:r w:rsidRPr="00CF482C">
              <w:rPr>
                <w:sz w:val="20"/>
                <w:szCs w:val="20"/>
              </w:rPr>
              <w:t>Đurić</w:t>
            </w:r>
            <w:proofErr w:type="spellEnd"/>
            <w:r w:rsidRPr="00CF482C">
              <w:rPr>
                <w:sz w:val="20"/>
                <w:szCs w:val="20"/>
              </w:rPr>
              <w:t xml:space="preserve"> L, Milošević N, </w:t>
            </w:r>
            <w:proofErr w:type="spellStart"/>
            <w:r w:rsidRPr="00CF482C">
              <w:rPr>
                <w:sz w:val="20"/>
                <w:szCs w:val="20"/>
              </w:rPr>
              <w:t>Milić</w:t>
            </w:r>
            <w:proofErr w:type="spellEnd"/>
            <w:r w:rsidRPr="00CF482C">
              <w:rPr>
                <w:sz w:val="20"/>
                <w:szCs w:val="20"/>
              </w:rPr>
              <w:t xml:space="preserve"> N. </w:t>
            </w:r>
            <w:hyperlink r:id="rId15" w:history="1">
              <w:r w:rsidRPr="00CF482C">
                <w:rPr>
                  <w:rStyle w:val="Hyperlink"/>
                  <w:sz w:val="20"/>
                  <w:szCs w:val="20"/>
                </w:rPr>
                <w:t>Comprehensive insight into triclosan-from widespread occurrence to health outcomes</w:t>
              </w:r>
            </w:hyperlink>
            <w:r w:rsidRPr="00CF482C">
              <w:rPr>
                <w:sz w:val="20"/>
                <w:szCs w:val="20"/>
              </w:rPr>
              <w:t xml:space="preserve">. Environ Sci </w:t>
            </w:r>
            <w:proofErr w:type="spellStart"/>
            <w:r w:rsidRPr="00CF482C">
              <w:rPr>
                <w:sz w:val="20"/>
                <w:szCs w:val="20"/>
              </w:rPr>
              <w:t>Pollut</w:t>
            </w:r>
            <w:proofErr w:type="spellEnd"/>
            <w:r w:rsidRPr="00CF482C">
              <w:rPr>
                <w:sz w:val="20"/>
                <w:szCs w:val="20"/>
              </w:rPr>
              <w:t xml:space="preserve"> Res. 2023;30(10):25119-40.</w:t>
            </w:r>
          </w:p>
        </w:tc>
        <w:tc>
          <w:tcPr>
            <w:tcW w:w="463" w:type="pct"/>
            <w:vAlign w:val="center"/>
          </w:tcPr>
          <w:p w14:paraId="619A1EB5" w14:textId="341EE633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67/275 (2022)</w:t>
            </w:r>
          </w:p>
        </w:tc>
        <w:tc>
          <w:tcPr>
            <w:tcW w:w="396" w:type="pct"/>
            <w:vAlign w:val="center"/>
          </w:tcPr>
          <w:p w14:paraId="50181D6D" w14:textId="77777777" w:rsidR="00A151E6" w:rsidRPr="00CF482C" w:rsidRDefault="00A151E6" w:rsidP="00A151E6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F482C">
              <w:rPr>
                <w:lang w:bidi="en-US"/>
              </w:rPr>
              <w:t>21</w:t>
            </w:r>
          </w:p>
          <w:p w14:paraId="7098F6F8" w14:textId="482DC254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(2022)</w:t>
            </w:r>
          </w:p>
        </w:tc>
        <w:tc>
          <w:tcPr>
            <w:tcW w:w="396" w:type="pct"/>
            <w:vAlign w:val="center"/>
          </w:tcPr>
          <w:p w14:paraId="3747738B" w14:textId="6AC3A660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5.8 (2022)</w:t>
            </w:r>
          </w:p>
        </w:tc>
      </w:tr>
      <w:tr w:rsidR="00A151E6" w:rsidRPr="00A22864" w14:paraId="5D0E5024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6727D892" w14:textId="6E4424B7" w:rsidR="00A151E6" w:rsidRPr="00CF482C" w:rsidRDefault="00A151E6" w:rsidP="00A151E6">
            <w:pPr>
              <w:spacing w:line="276" w:lineRule="auto"/>
              <w:ind w:left="-23"/>
              <w:jc w:val="center"/>
            </w:pPr>
            <w:r w:rsidRPr="00CF482C">
              <w:t>1</w:t>
            </w:r>
            <w:r w:rsidR="00CF482C" w:rsidRPr="00CF482C">
              <w:t>2</w:t>
            </w:r>
            <w:r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7EAC50B2" w14:textId="670AFF71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 xml:space="preserve">Milošević N, </w:t>
            </w:r>
            <w:r w:rsidRPr="00CF482C">
              <w:rPr>
                <w:b/>
                <w:bCs/>
                <w:sz w:val="20"/>
                <w:szCs w:val="20"/>
              </w:rPr>
              <w:t>Milanović M</w:t>
            </w:r>
            <w:r w:rsidRPr="00CF482C">
              <w:rPr>
                <w:sz w:val="20"/>
                <w:szCs w:val="20"/>
              </w:rPr>
              <w:t xml:space="preserve">, Pavlović N, </w:t>
            </w:r>
            <w:proofErr w:type="spellStart"/>
            <w:r w:rsidRPr="00CF482C">
              <w:rPr>
                <w:sz w:val="20"/>
                <w:szCs w:val="20"/>
              </w:rPr>
              <w:t>Đurić</w:t>
            </w:r>
            <w:proofErr w:type="spellEnd"/>
            <w:r w:rsidRPr="00CF482C">
              <w:rPr>
                <w:sz w:val="20"/>
                <w:szCs w:val="20"/>
              </w:rPr>
              <w:t xml:space="preserve"> L, </w:t>
            </w:r>
            <w:proofErr w:type="spellStart"/>
            <w:r w:rsidRPr="00CF482C">
              <w:rPr>
                <w:sz w:val="20"/>
                <w:szCs w:val="20"/>
              </w:rPr>
              <w:t>Cacciola</w:t>
            </w:r>
            <w:proofErr w:type="spellEnd"/>
            <w:r w:rsidRPr="00CF482C">
              <w:rPr>
                <w:sz w:val="20"/>
                <w:szCs w:val="20"/>
              </w:rPr>
              <w:t xml:space="preserve"> NA, Borrelli F, </w:t>
            </w:r>
            <w:proofErr w:type="spellStart"/>
            <w:r w:rsidRPr="00CF482C">
              <w:rPr>
                <w:sz w:val="20"/>
                <w:szCs w:val="20"/>
              </w:rPr>
              <w:t>Milić</w:t>
            </w:r>
            <w:proofErr w:type="spellEnd"/>
            <w:r w:rsidRPr="00CF482C">
              <w:rPr>
                <w:sz w:val="20"/>
                <w:szCs w:val="20"/>
              </w:rPr>
              <w:t xml:space="preserve"> N. </w:t>
            </w:r>
            <w:hyperlink r:id="rId16" w:history="1">
              <w:r w:rsidRPr="00CF482C">
                <w:rPr>
                  <w:rStyle w:val="Hyperlink"/>
                  <w:sz w:val="20"/>
                  <w:szCs w:val="20"/>
                </w:rPr>
                <w:t xml:space="preserve">Indian ayurvedic herb, </w:t>
              </w:r>
              <w:proofErr w:type="spellStart"/>
              <w:r w:rsidRPr="00CF482C">
                <w:rPr>
                  <w:rStyle w:val="Hyperlink"/>
                  <w:sz w:val="20"/>
                  <w:szCs w:val="20"/>
                </w:rPr>
                <w:t>Boerhaavia</w:t>
              </w:r>
              <w:proofErr w:type="spellEnd"/>
              <w:r w:rsidRPr="00CF482C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CF482C">
                <w:rPr>
                  <w:rStyle w:val="Hyperlink"/>
                  <w:sz w:val="20"/>
                  <w:szCs w:val="20"/>
                </w:rPr>
                <w:t>diffusa</w:t>
              </w:r>
              <w:proofErr w:type="spellEnd"/>
              <w:r w:rsidRPr="00CF482C">
                <w:rPr>
                  <w:rStyle w:val="Hyperlink"/>
                  <w:sz w:val="20"/>
                  <w:szCs w:val="20"/>
                </w:rPr>
                <w:t xml:space="preserve"> as BCPR inhibitor: The story behind the curtains</w:t>
              </w:r>
            </w:hyperlink>
            <w:r w:rsidRPr="00CF482C">
              <w:rPr>
                <w:sz w:val="20"/>
                <w:szCs w:val="20"/>
              </w:rPr>
              <w:t xml:space="preserve">. J Mol Struct. </w:t>
            </w:r>
            <w:proofErr w:type="gramStart"/>
            <w:r w:rsidRPr="00CF482C">
              <w:rPr>
                <w:sz w:val="20"/>
                <w:szCs w:val="20"/>
              </w:rPr>
              <w:t>2022;1249:131564</w:t>
            </w:r>
            <w:proofErr w:type="gramEnd"/>
            <w:r w:rsidRPr="00CF482C">
              <w:rPr>
                <w:sz w:val="20"/>
                <w:szCs w:val="20"/>
              </w:rPr>
              <w:t>.</w:t>
            </w:r>
          </w:p>
        </w:tc>
        <w:tc>
          <w:tcPr>
            <w:tcW w:w="463" w:type="pct"/>
            <w:vAlign w:val="center"/>
          </w:tcPr>
          <w:p w14:paraId="33A0BFF1" w14:textId="288D1061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74/161</w:t>
            </w:r>
          </w:p>
        </w:tc>
        <w:tc>
          <w:tcPr>
            <w:tcW w:w="396" w:type="pct"/>
            <w:vAlign w:val="center"/>
          </w:tcPr>
          <w:p w14:paraId="7361B2B1" w14:textId="6ED6687D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22</w:t>
            </w:r>
          </w:p>
        </w:tc>
        <w:tc>
          <w:tcPr>
            <w:tcW w:w="396" w:type="pct"/>
            <w:vAlign w:val="center"/>
          </w:tcPr>
          <w:p w14:paraId="06113441" w14:textId="130BC11D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3.8</w:t>
            </w:r>
          </w:p>
        </w:tc>
      </w:tr>
      <w:tr w:rsidR="00A151E6" w:rsidRPr="00A22864" w14:paraId="1182513B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09256D91" w14:textId="3790A449" w:rsidR="00A151E6" w:rsidRPr="00CF482C" w:rsidRDefault="00A151E6" w:rsidP="00A151E6">
            <w:pPr>
              <w:spacing w:line="276" w:lineRule="auto"/>
              <w:ind w:left="-23"/>
              <w:jc w:val="center"/>
            </w:pPr>
            <w:r w:rsidRPr="00CF482C">
              <w:t>1</w:t>
            </w:r>
            <w:r w:rsidR="00CF482C" w:rsidRPr="00CF482C">
              <w:t>3</w:t>
            </w:r>
            <w:r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7BE90A25" w14:textId="59C3EB42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CF482C">
              <w:rPr>
                <w:sz w:val="20"/>
                <w:szCs w:val="20"/>
              </w:rPr>
              <w:t>Abenavoli</w:t>
            </w:r>
            <w:proofErr w:type="spellEnd"/>
            <w:r w:rsidRPr="00CF482C">
              <w:rPr>
                <w:sz w:val="20"/>
                <w:szCs w:val="20"/>
              </w:rPr>
              <w:t xml:space="preserve"> L, </w:t>
            </w:r>
            <w:r w:rsidRPr="00CF482C">
              <w:rPr>
                <w:b/>
                <w:bCs/>
                <w:sz w:val="20"/>
                <w:szCs w:val="20"/>
              </w:rPr>
              <w:t>Milanovic M</w:t>
            </w:r>
            <w:r w:rsidRPr="00CF482C">
              <w:rPr>
                <w:sz w:val="20"/>
                <w:szCs w:val="20"/>
              </w:rPr>
              <w:t xml:space="preserve">, Procopio AC, Spampinato G, </w:t>
            </w:r>
            <w:proofErr w:type="spellStart"/>
            <w:r w:rsidRPr="00CF482C">
              <w:rPr>
                <w:sz w:val="20"/>
                <w:szCs w:val="20"/>
              </w:rPr>
              <w:t>Maruca</w:t>
            </w:r>
            <w:proofErr w:type="spellEnd"/>
            <w:r w:rsidRPr="00CF482C">
              <w:rPr>
                <w:sz w:val="20"/>
                <w:szCs w:val="20"/>
              </w:rPr>
              <w:t xml:space="preserve"> G, </w:t>
            </w:r>
            <w:proofErr w:type="spellStart"/>
            <w:r w:rsidRPr="00CF482C">
              <w:rPr>
                <w:sz w:val="20"/>
                <w:szCs w:val="20"/>
              </w:rPr>
              <w:t>Perrino</w:t>
            </w:r>
            <w:proofErr w:type="spellEnd"/>
            <w:r w:rsidRPr="00CF482C">
              <w:rPr>
                <w:sz w:val="20"/>
                <w:szCs w:val="20"/>
              </w:rPr>
              <w:t xml:space="preserve"> EV, </w:t>
            </w:r>
            <w:proofErr w:type="spellStart"/>
            <w:r w:rsidRPr="00CF482C">
              <w:rPr>
                <w:sz w:val="20"/>
                <w:szCs w:val="20"/>
              </w:rPr>
              <w:t>Mannino</w:t>
            </w:r>
            <w:proofErr w:type="spellEnd"/>
            <w:r w:rsidRPr="00CF482C">
              <w:rPr>
                <w:sz w:val="20"/>
                <w:szCs w:val="20"/>
              </w:rPr>
              <w:t xml:space="preserve"> GC, </w:t>
            </w:r>
            <w:proofErr w:type="spellStart"/>
            <w:r w:rsidRPr="00CF482C">
              <w:rPr>
                <w:sz w:val="20"/>
                <w:szCs w:val="20"/>
              </w:rPr>
              <w:t>Fagoonee</w:t>
            </w:r>
            <w:proofErr w:type="spellEnd"/>
            <w:r w:rsidRPr="00CF482C">
              <w:rPr>
                <w:sz w:val="20"/>
                <w:szCs w:val="20"/>
              </w:rPr>
              <w:t xml:space="preserve"> S, </w:t>
            </w:r>
            <w:proofErr w:type="spellStart"/>
            <w:r w:rsidRPr="00CF482C">
              <w:rPr>
                <w:sz w:val="20"/>
                <w:szCs w:val="20"/>
              </w:rPr>
              <w:t>Luzza</w:t>
            </w:r>
            <w:proofErr w:type="spellEnd"/>
            <w:r w:rsidRPr="00CF482C">
              <w:rPr>
                <w:sz w:val="20"/>
                <w:szCs w:val="20"/>
              </w:rPr>
              <w:t xml:space="preserve"> F, </w:t>
            </w:r>
            <w:proofErr w:type="spellStart"/>
            <w:r w:rsidRPr="00CF482C">
              <w:rPr>
                <w:sz w:val="20"/>
                <w:szCs w:val="20"/>
              </w:rPr>
              <w:t>Musarella</w:t>
            </w:r>
            <w:proofErr w:type="spellEnd"/>
            <w:r w:rsidRPr="00CF482C">
              <w:rPr>
                <w:sz w:val="20"/>
                <w:szCs w:val="20"/>
              </w:rPr>
              <w:t xml:space="preserve"> CM. Ancient wheats: beneficial effects on insulin resistance. Minerva Med. 2021;112(5):641-50. </w:t>
            </w:r>
          </w:p>
        </w:tc>
        <w:tc>
          <w:tcPr>
            <w:tcW w:w="463" w:type="pct"/>
            <w:vAlign w:val="center"/>
          </w:tcPr>
          <w:p w14:paraId="36372FAB" w14:textId="4767A8BE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44/172</w:t>
            </w:r>
          </w:p>
        </w:tc>
        <w:tc>
          <w:tcPr>
            <w:tcW w:w="396" w:type="pct"/>
            <w:vAlign w:val="center"/>
          </w:tcPr>
          <w:p w14:paraId="7E2C8145" w14:textId="0C79AE6F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21</w:t>
            </w:r>
          </w:p>
        </w:tc>
        <w:tc>
          <w:tcPr>
            <w:tcW w:w="396" w:type="pct"/>
            <w:vAlign w:val="center"/>
          </w:tcPr>
          <w:p w14:paraId="0C681F38" w14:textId="411DD868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5.580</w:t>
            </w:r>
          </w:p>
        </w:tc>
      </w:tr>
      <w:tr w:rsidR="00A151E6" w:rsidRPr="00A22864" w14:paraId="481272FC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4F730C84" w14:textId="3D2C85F4" w:rsidR="00A151E6" w:rsidRPr="00CF482C" w:rsidRDefault="00A151E6" w:rsidP="00A151E6">
            <w:pPr>
              <w:spacing w:line="276" w:lineRule="auto"/>
              <w:ind w:left="-23"/>
              <w:jc w:val="center"/>
            </w:pPr>
            <w:r w:rsidRPr="00CF482C">
              <w:t>1</w:t>
            </w:r>
            <w:r w:rsidR="00CF482C" w:rsidRPr="00CF482C">
              <w:t>4</w:t>
            </w:r>
            <w:r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0BB3F3C1" w14:textId="7CFC16E7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CF482C">
              <w:rPr>
                <w:b/>
                <w:bCs/>
                <w:sz w:val="20"/>
                <w:szCs w:val="20"/>
              </w:rPr>
              <w:t>Milanović M</w:t>
            </w:r>
            <w:r w:rsidRPr="00CF482C">
              <w:rPr>
                <w:sz w:val="20"/>
                <w:szCs w:val="20"/>
              </w:rPr>
              <w:t xml:space="preserve">, </w:t>
            </w:r>
            <w:proofErr w:type="spellStart"/>
            <w:r w:rsidRPr="00CF482C">
              <w:rPr>
                <w:sz w:val="20"/>
                <w:szCs w:val="20"/>
              </w:rPr>
              <w:t>Ćirin</w:t>
            </w:r>
            <w:proofErr w:type="spellEnd"/>
            <w:r w:rsidRPr="00CF482C">
              <w:rPr>
                <w:sz w:val="20"/>
                <w:szCs w:val="20"/>
              </w:rPr>
              <w:t xml:space="preserve"> D, </w:t>
            </w:r>
            <w:proofErr w:type="spellStart"/>
            <w:r w:rsidRPr="00CF482C">
              <w:rPr>
                <w:sz w:val="20"/>
                <w:szCs w:val="20"/>
              </w:rPr>
              <w:t>Krstonošić</w:t>
            </w:r>
            <w:proofErr w:type="spellEnd"/>
            <w:r w:rsidRPr="00CF482C">
              <w:rPr>
                <w:sz w:val="20"/>
                <w:szCs w:val="20"/>
              </w:rPr>
              <w:t xml:space="preserve"> V. </w:t>
            </w:r>
            <w:hyperlink r:id="rId17" w:history="1">
              <w:r w:rsidRPr="00CF482C">
                <w:rPr>
                  <w:rStyle w:val="Hyperlink"/>
                  <w:sz w:val="20"/>
                  <w:szCs w:val="20"/>
                </w:rPr>
                <w:t>The interactions in ternary system made of xanthan gum, Carbopol 940 and anionic/nonionic surfactant</w:t>
              </w:r>
            </w:hyperlink>
            <w:r w:rsidRPr="00CF482C">
              <w:rPr>
                <w:sz w:val="20"/>
                <w:szCs w:val="20"/>
              </w:rPr>
              <w:t>. J Mol Liq. 2021; 344:117696.</w:t>
            </w:r>
          </w:p>
        </w:tc>
        <w:tc>
          <w:tcPr>
            <w:tcW w:w="463" w:type="pct"/>
            <w:vAlign w:val="center"/>
          </w:tcPr>
          <w:p w14:paraId="119AF7C0" w14:textId="32B59D30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49/165</w:t>
            </w:r>
          </w:p>
        </w:tc>
        <w:tc>
          <w:tcPr>
            <w:tcW w:w="396" w:type="pct"/>
            <w:vAlign w:val="center"/>
          </w:tcPr>
          <w:p w14:paraId="011F42EA" w14:textId="7257C6E9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21</w:t>
            </w:r>
          </w:p>
        </w:tc>
        <w:tc>
          <w:tcPr>
            <w:tcW w:w="396" w:type="pct"/>
            <w:vAlign w:val="center"/>
          </w:tcPr>
          <w:p w14:paraId="2756CD65" w14:textId="675B43B7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6.633</w:t>
            </w:r>
          </w:p>
        </w:tc>
      </w:tr>
      <w:tr w:rsidR="00A151E6" w:rsidRPr="00A22864" w14:paraId="32062FBB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06D203FB" w14:textId="70ACA99B" w:rsidR="00A151E6" w:rsidRPr="00CF482C" w:rsidRDefault="00A151E6" w:rsidP="00A151E6">
            <w:pPr>
              <w:spacing w:line="276" w:lineRule="auto"/>
              <w:ind w:left="-23"/>
              <w:jc w:val="center"/>
            </w:pPr>
            <w:r w:rsidRPr="00CF482C">
              <w:t>1</w:t>
            </w:r>
            <w:r w:rsidR="00CF482C" w:rsidRPr="00CF482C">
              <w:t>5</w:t>
            </w:r>
            <w:r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41EF687C" w14:textId="134EDD6A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CF482C">
              <w:rPr>
                <w:sz w:val="20"/>
                <w:szCs w:val="20"/>
              </w:rPr>
              <w:t>Kanoni</w:t>
            </w:r>
            <w:proofErr w:type="spellEnd"/>
            <w:r w:rsidRPr="00CF482C">
              <w:rPr>
                <w:sz w:val="20"/>
                <w:szCs w:val="20"/>
              </w:rPr>
              <w:t xml:space="preserve"> S, Kumar S, </w:t>
            </w:r>
            <w:proofErr w:type="spellStart"/>
            <w:r w:rsidRPr="00CF482C">
              <w:rPr>
                <w:sz w:val="20"/>
                <w:szCs w:val="20"/>
              </w:rPr>
              <w:t>Amerikanou</w:t>
            </w:r>
            <w:proofErr w:type="spellEnd"/>
            <w:r w:rsidRPr="00CF482C">
              <w:rPr>
                <w:sz w:val="20"/>
                <w:szCs w:val="20"/>
              </w:rPr>
              <w:t xml:space="preserve"> C, </w:t>
            </w:r>
            <w:proofErr w:type="spellStart"/>
            <w:r w:rsidRPr="00CF482C">
              <w:rPr>
                <w:sz w:val="20"/>
                <w:szCs w:val="20"/>
              </w:rPr>
              <w:t>Kurth</w:t>
            </w:r>
            <w:proofErr w:type="spellEnd"/>
            <w:r w:rsidRPr="00CF482C">
              <w:rPr>
                <w:sz w:val="20"/>
                <w:szCs w:val="20"/>
              </w:rPr>
              <w:t xml:space="preserve"> MJ, </w:t>
            </w:r>
            <w:proofErr w:type="spellStart"/>
            <w:r w:rsidRPr="00CF482C">
              <w:rPr>
                <w:sz w:val="20"/>
                <w:szCs w:val="20"/>
              </w:rPr>
              <w:t>Stathopoulou</w:t>
            </w:r>
            <w:proofErr w:type="spellEnd"/>
            <w:r w:rsidRPr="00CF482C">
              <w:rPr>
                <w:sz w:val="20"/>
                <w:szCs w:val="20"/>
              </w:rPr>
              <w:t xml:space="preserve"> MG, Bourgeois S, …, </w:t>
            </w:r>
            <w:r w:rsidRPr="00CF482C">
              <w:rPr>
                <w:b/>
                <w:bCs/>
                <w:sz w:val="20"/>
                <w:szCs w:val="20"/>
              </w:rPr>
              <w:t>Milanović M</w:t>
            </w:r>
            <w:r w:rsidRPr="00CF482C">
              <w:rPr>
                <w:sz w:val="20"/>
                <w:szCs w:val="20"/>
              </w:rPr>
              <w:t xml:space="preserve">, …, </w:t>
            </w:r>
            <w:proofErr w:type="spellStart"/>
            <w:r w:rsidRPr="00CF482C">
              <w:rPr>
                <w:sz w:val="20"/>
                <w:szCs w:val="20"/>
              </w:rPr>
              <w:t>Milić</w:t>
            </w:r>
            <w:proofErr w:type="spellEnd"/>
            <w:r w:rsidRPr="00CF482C">
              <w:rPr>
                <w:sz w:val="20"/>
                <w:szCs w:val="20"/>
              </w:rPr>
              <w:t xml:space="preserve"> N, …, Medić-</w:t>
            </w:r>
            <w:proofErr w:type="spellStart"/>
            <w:r w:rsidRPr="00CF482C">
              <w:rPr>
                <w:sz w:val="20"/>
                <w:szCs w:val="20"/>
              </w:rPr>
              <w:t>Stojanoska</w:t>
            </w:r>
            <w:proofErr w:type="spellEnd"/>
            <w:r w:rsidRPr="00CF482C">
              <w:rPr>
                <w:sz w:val="20"/>
                <w:szCs w:val="20"/>
              </w:rPr>
              <w:t xml:space="preserve"> M, et al. </w:t>
            </w:r>
            <w:hyperlink r:id="rId18" w:history="1">
              <w:r w:rsidRPr="00CF482C">
                <w:rPr>
                  <w:rStyle w:val="Hyperlink"/>
                  <w:sz w:val="20"/>
                  <w:szCs w:val="20"/>
                </w:rPr>
                <w:t xml:space="preserve">Nutrigenetic Interactions Might Modulate the Antioxidant and Anti-Inflammatory Status in </w:t>
              </w:r>
              <w:proofErr w:type="spellStart"/>
              <w:r w:rsidRPr="00CF482C">
                <w:rPr>
                  <w:rStyle w:val="Hyperlink"/>
                  <w:sz w:val="20"/>
                  <w:szCs w:val="20"/>
                </w:rPr>
                <w:t>Mastiha</w:t>
              </w:r>
              <w:proofErr w:type="spellEnd"/>
              <w:r w:rsidRPr="00CF482C">
                <w:rPr>
                  <w:rStyle w:val="Hyperlink"/>
                  <w:sz w:val="20"/>
                  <w:szCs w:val="20"/>
                </w:rPr>
                <w:t>-Supplemented Patients With NAFLD</w:t>
              </w:r>
            </w:hyperlink>
            <w:r w:rsidRPr="00CF482C">
              <w:rPr>
                <w:sz w:val="20"/>
                <w:szCs w:val="20"/>
              </w:rPr>
              <w:t xml:space="preserve">. Front Immunol. </w:t>
            </w:r>
            <w:proofErr w:type="gramStart"/>
            <w:r w:rsidRPr="00CF482C">
              <w:rPr>
                <w:sz w:val="20"/>
                <w:szCs w:val="20"/>
              </w:rPr>
              <w:t>2021;12:683028</w:t>
            </w:r>
            <w:proofErr w:type="gramEnd"/>
            <w:r w:rsidRPr="00CF482C">
              <w:rPr>
                <w:sz w:val="20"/>
                <w:szCs w:val="20"/>
              </w:rPr>
              <w:t>.</w:t>
            </w:r>
          </w:p>
        </w:tc>
        <w:tc>
          <w:tcPr>
            <w:tcW w:w="463" w:type="pct"/>
            <w:vAlign w:val="center"/>
          </w:tcPr>
          <w:p w14:paraId="18882EA6" w14:textId="76546BE6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35/163</w:t>
            </w:r>
          </w:p>
        </w:tc>
        <w:tc>
          <w:tcPr>
            <w:tcW w:w="396" w:type="pct"/>
            <w:vAlign w:val="center"/>
          </w:tcPr>
          <w:p w14:paraId="3B72425D" w14:textId="16760C5E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21</w:t>
            </w:r>
          </w:p>
        </w:tc>
        <w:tc>
          <w:tcPr>
            <w:tcW w:w="396" w:type="pct"/>
            <w:vAlign w:val="center"/>
          </w:tcPr>
          <w:p w14:paraId="2968BC22" w14:textId="2DFBBD5F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8.787</w:t>
            </w:r>
          </w:p>
        </w:tc>
      </w:tr>
      <w:tr w:rsidR="00A151E6" w:rsidRPr="00A22864" w14:paraId="200D7743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3261E86F" w14:textId="5E1043C9" w:rsidR="00A151E6" w:rsidRPr="00CF482C" w:rsidRDefault="00A151E6" w:rsidP="00A151E6">
            <w:pPr>
              <w:spacing w:line="276" w:lineRule="auto"/>
              <w:ind w:left="-23"/>
              <w:jc w:val="center"/>
            </w:pPr>
            <w:r w:rsidRPr="00CF482C">
              <w:t>1</w:t>
            </w:r>
            <w:r w:rsidR="00CF482C" w:rsidRPr="00CF482C">
              <w:t>6</w:t>
            </w:r>
            <w:r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711EB972" w14:textId="5C52CC8B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CF482C">
              <w:rPr>
                <w:sz w:val="20"/>
                <w:szCs w:val="20"/>
              </w:rPr>
              <w:t>Milić</w:t>
            </w:r>
            <w:proofErr w:type="spellEnd"/>
            <w:r w:rsidRPr="00CF482C">
              <w:rPr>
                <w:sz w:val="20"/>
                <w:szCs w:val="20"/>
              </w:rPr>
              <w:t xml:space="preserve"> N, </w:t>
            </w:r>
            <w:r w:rsidRPr="00CF482C">
              <w:rPr>
                <w:b/>
                <w:bCs/>
                <w:sz w:val="20"/>
                <w:szCs w:val="20"/>
              </w:rPr>
              <w:t>Milanović M</w:t>
            </w:r>
            <w:r w:rsidRPr="00CF482C">
              <w:rPr>
                <w:sz w:val="20"/>
                <w:szCs w:val="20"/>
              </w:rPr>
              <w:t xml:space="preserve">, </w:t>
            </w:r>
            <w:proofErr w:type="spellStart"/>
            <w:r w:rsidRPr="00CF482C">
              <w:rPr>
                <w:sz w:val="20"/>
                <w:szCs w:val="20"/>
              </w:rPr>
              <w:t>Četojević</w:t>
            </w:r>
            <w:proofErr w:type="spellEnd"/>
            <w:r w:rsidRPr="00CF482C">
              <w:rPr>
                <w:sz w:val="20"/>
                <w:szCs w:val="20"/>
              </w:rPr>
              <w:t xml:space="preserve">-Simin D, </w:t>
            </w:r>
            <w:proofErr w:type="spellStart"/>
            <w:r w:rsidRPr="00CF482C">
              <w:rPr>
                <w:sz w:val="20"/>
                <w:szCs w:val="20"/>
              </w:rPr>
              <w:t>Malenčić</w:t>
            </w:r>
            <w:proofErr w:type="spellEnd"/>
            <w:r w:rsidRPr="00CF482C">
              <w:rPr>
                <w:sz w:val="20"/>
                <w:szCs w:val="20"/>
              </w:rPr>
              <w:t xml:space="preserve"> Đ, Prvulović D, </w:t>
            </w:r>
            <w:proofErr w:type="spellStart"/>
            <w:r w:rsidRPr="00CF482C">
              <w:rPr>
                <w:sz w:val="20"/>
                <w:szCs w:val="20"/>
              </w:rPr>
              <w:t>Pavkov</w:t>
            </w:r>
            <w:proofErr w:type="spellEnd"/>
            <w:r w:rsidRPr="00CF482C">
              <w:rPr>
                <w:sz w:val="20"/>
                <w:szCs w:val="20"/>
              </w:rPr>
              <w:t xml:space="preserve"> N, </w:t>
            </w:r>
            <w:proofErr w:type="spellStart"/>
            <w:r w:rsidRPr="00CF482C">
              <w:rPr>
                <w:sz w:val="20"/>
                <w:szCs w:val="20"/>
              </w:rPr>
              <w:t>Radulović</w:t>
            </w:r>
            <w:proofErr w:type="spellEnd"/>
            <w:r w:rsidRPr="00CF482C">
              <w:rPr>
                <w:sz w:val="20"/>
                <w:szCs w:val="20"/>
              </w:rPr>
              <w:t xml:space="preserve"> Z, Milošević N, </w:t>
            </w:r>
            <w:proofErr w:type="spellStart"/>
            <w:r w:rsidRPr="00CF482C">
              <w:rPr>
                <w:sz w:val="20"/>
                <w:szCs w:val="20"/>
              </w:rPr>
              <w:t>Rašković</w:t>
            </w:r>
            <w:proofErr w:type="spellEnd"/>
            <w:r w:rsidRPr="00CF482C">
              <w:rPr>
                <w:sz w:val="20"/>
                <w:szCs w:val="20"/>
              </w:rPr>
              <w:t xml:space="preserve"> A, </w:t>
            </w:r>
            <w:proofErr w:type="spellStart"/>
            <w:r w:rsidRPr="00CF482C">
              <w:rPr>
                <w:sz w:val="20"/>
                <w:szCs w:val="20"/>
              </w:rPr>
              <w:t>Mandić</w:t>
            </w:r>
            <w:proofErr w:type="spellEnd"/>
            <w:r w:rsidRPr="00CF482C">
              <w:rPr>
                <w:sz w:val="20"/>
                <w:szCs w:val="20"/>
              </w:rPr>
              <w:t xml:space="preserve"> A. </w:t>
            </w:r>
            <w:hyperlink r:id="rId19" w:history="1">
              <w:r w:rsidRPr="00CF482C">
                <w:rPr>
                  <w:rStyle w:val="Hyperlink"/>
                  <w:sz w:val="20"/>
                  <w:szCs w:val="20"/>
                </w:rPr>
                <w:t xml:space="preserve">Phytochemical characterization and effects on cell proliferation of Pinus nigra </w:t>
              </w:r>
              <w:proofErr w:type="spellStart"/>
              <w:r w:rsidRPr="00CF482C">
                <w:rPr>
                  <w:rStyle w:val="Hyperlink"/>
                  <w:sz w:val="20"/>
                  <w:szCs w:val="20"/>
                </w:rPr>
                <w:t>Arn</w:t>
              </w:r>
              <w:proofErr w:type="spellEnd"/>
              <w:r w:rsidRPr="00CF482C">
                <w:rPr>
                  <w:rStyle w:val="Hyperlink"/>
                  <w:sz w:val="20"/>
                  <w:szCs w:val="20"/>
                </w:rPr>
                <w:t>. bark</w:t>
              </w:r>
            </w:hyperlink>
            <w:r w:rsidRPr="00CF482C">
              <w:rPr>
                <w:sz w:val="20"/>
                <w:szCs w:val="20"/>
              </w:rPr>
              <w:t>. Arch Pharm (Weinheim). 2021;354(5</w:t>
            </w:r>
            <w:proofErr w:type="gramStart"/>
            <w:r w:rsidRPr="00CF482C">
              <w:rPr>
                <w:sz w:val="20"/>
                <w:szCs w:val="20"/>
              </w:rPr>
              <w:t>):e</w:t>
            </w:r>
            <w:proofErr w:type="gramEnd"/>
            <w:r w:rsidRPr="00CF482C">
              <w:rPr>
                <w:sz w:val="20"/>
                <w:szCs w:val="20"/>
              </w:rPr>
              <w:t xml:space="preserve">2000416. </w:t>
            </w:r>
          </w:p>
        </w:tc>
        <w:tc>
          <w:tcPr>
            <w:tcW w:w="463" w:type="pct"/>
            <w:vAlign w:val="center"/>
          </w:tcPr>
          <w:p w14:paraId="42BD436C" w14:textId="4A297B7F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89/279</w:t>
            </w:r>
          </w:p>
        </w:tc>
        <w:tc>
          <w:tcPr>
            <w:tcW w:w="396" w:type="pct"/>
            <w:vAlign w:val="center"/>
          </w:tcPr>
          <w:p w14:paraId="71D06D8F" w14:textId="51CF8A02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22</w:t>
            </w:r>
          </w:p>
        </w:tc>
        <w:tc>
          <w:tcPr>
            <w:tcW w:w="396" w:type="pct"/>
            <w:vAlign w:val="center"/>
          </w:tcPr>
          <w:p w14:paraId="6407F34B" w14:textId="4D237731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4.613</w:t>
            </w:r>
          </w:p>
        </w:tc>
      </w:tr>
      <w:tr w:rsidR="00A151E6" w:rsidRPr="00A22864" w14:paraId="1E3D4C4B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3FA51836" w14:textId="35CC85F6" w:rsidR="00A151E6" w:rsidRPr="00CF482C" w:rsidRDefault="00A151E6" w:rsidP="00A151E6">
            <w:pPr>
              <w:spacing w:line="276" w:lineRule="auto"/>
              <w:ind w:left="-23"/>
              <w:jc w:val="center"/>
            </w:pPr>
            <w:r w:rsidRPr="00CF482C">
              <w:t>1</w:t>
            </w:r>
            <w:r w:rsidR="00CF482C" w:rsidRPr="00CF482C">
              <w:t>7</w:t>
            </w:r>
            <w:r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3B9EA569" w14:textId="2F03DF61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CF482C">
              <w:rPr>
                <w:b/>
                <w:bCs/>
                <w:sz w:val="20"/>
                <w:szCs w:val="20"/>
              </w:rPr>
              <w:t>Milanović M</w:t>
            </w:r>
            <w:r w:rsidRPr="00CF482C">
              <w:rPr>
                <w:sz w:val="20"/>
                <w:szCs w:val="20"/>
              </w:rPr>
              <w:t xml:space="preserve">, Milošević N, </w:t>
            </w:r>
            <w:proofErr w:type="spellStart"/>
            <w:r w:rsidRPr="00CF482C">
              <w:rPr>
                <w:sz w:val="20"/>
                <w:szCs w:val="20"/>
              </w:rPr>
              <w:t>Sudji</w:t>
            </w:r>
            <w:proofErr w:type="spellEnd"/>
            <w:r w:rsidRPr="00CF482C">
              <w:rPr>
                <w:sz w:val="20"/>
                <w:szCs w:val="20"/>
              </w:rPr>
              <w:t xml:space="preserve"> J, </w:t>
            </w:r>
            <w:proofErr w:type="spellStart"/>
            <w:r w:rsidRPr="00CF482C">
              <w:rPr>
                <w:sz w:val="20"/>
                <w:szCs w:val="20"/>
              </w:rPr>
              <w:t>Stojanoski</w:t>
            </w:r>
            <w:proofErr w:type="spellEnd"/>
            <w:r w:rsidRPr="00CF482C">
              <w:rPr>
                <w:sz w:val="20"/>
                <w:szCs w:val="20"/>
              </w:rPr>
              <w:t xml:space="preserve"> S, </w:t>
            </w:r>
            <w:proofErr w:type="spellStart"/>
            <w:r w:rsidRPr="00CF482C">
              <w:rPr>
                <w:sz w:val="20"/>
                <w:szCs w:val="20"/>
              </w:rPr>
              <w:t>Atanacković</w:t>
            </w:r>
            <w:proofErr w:type="spellEnd"/>
            <w:r w:rsidRPr="00CF482C">
              <w:rPr>
                <w:sz w:val="20"/>
                <w:szCs w:val="20"/>
              </w:rPr>
              <w:t xml:space="preserve"> </w:t>
            </w:r>
            <w:proofErr w:type="spellStart"/>
            <w:r w:rsidRPr="00CF482C">
              <w:rPr>
                <w:sz w:val="20"/>
                <w:szCs w:val="20"/>
              </w:rPr>
              <w:t>Krstonošić</w:t>
            </w:r>
            <w:proofErr w:type="spellEnd"/>
            <w:r w:rsidRPr="00CF482C">
              <w:rPr>
                <w:sz w:val="20"/>
                <w:szCs w:val="20"/>
              </w:rPr>
              <w:t xml:space="preserve"> M, Bjelica A, </w:t>
            </w:r>
            <w:proofErr w:type="spellStart"/>
            <w:r w:rsidRPr="00CF482C">
              <w:rPr>
                <w:sz w:val="20"/>
                <w:szCs w:val="20"/>
              </w:rPr>
              <w:t>Milić</w:t>
            </w:r>
            <w:proofErr w:type="spellEnd"/>
            <w:r w:rsidRPr="00CF482C">
              <w:rPr>
                <w:sz w:val="20"/>
                <w:szCs w:val="20"/>
              </w:rPr>
              <w:t xml:space="preserve"> N, Medić </w:t>
            </w:r>
            <w:proofErr w:type="spellStart"/>
            <w:r w:rsidRPr="00CF482C">
              <w:rPr>
                <w:sz w:val="20"/>
                <w:szCs w:val="20"/>
              </w:rPr>
              <w:t>Stojanoska</w:t>
            </w:r>
            <w:proofErr w:type="spellEnd"/>
            <w:r w:rsidRPr="00CF482C">
              <w:rPr>
                <w:sz w:val="20"/>
                <w:szCs w:val="20"/>
              </w:rPr>
              <w:t xml:space="preserve"> M. </w:t>
            </w:r>
            <w:hyperlink r:id="rId20" w:history="1">
              <w:r w:rsidRPr="00CF482C">
                <w:rPr>
                  <w:rStyle w:val="Hyperlink"/>
                  <w:sz w:val="20"/>
                  <w:szCs w:val="20"/>
                </w:rPr>
                <w:t>Can environmental pollutant bisphenol A increase metabolic risk in polycystic ovary syndrome?</w:t>
              </w:r>
            </w:hyperlink>
            <w:r w:rsidRPr="00CF482C">
              <w:rPr>
                <w:sz w:val="20"/>
                <w:szCs w:val="20"/>
              </w:rPr>
              <w:t xml:space="preserve"> Clin </w:t>
            </w:r>
            <w:proofErr w:type="spellStart"/>
            <w:r w:rsidRPr="00CF482C">
              <w:rPr>
                <w:sz w:val="20"/>
                <w:szCs w:val="20"/>
              </w:rPr>
              <w:t>Chim</w:t>
            </w:r>
            <w:proofErr w:type="spellEnd"/>
            <w:r w:rsidRPr="00CF482C">
              <w:rPr>
                <w:sz w:val="20"/>
                <w:szCs w:val="20"/>
              </w:rPr>
              <w:t xml:space="preserve"> Acta. </w:t>
            </w:r>
            <w:proofErr w:type="gramStart"/>
            <w:r w:rsidRPr="00CF482C">
              <w:rPr>
                <w:sz w:val="20"/>
                <w:szCs w:val="20"/>
              </w:rPr>
              <w:t>2020;507:257</w:t>
            </w:r>
            <w:proofErr w:type="gramEnd"/>
            <w:r w:rsidRPr="00CF482C">
              <w:rPr>
                <w:sz w:val="20"/>
                <w:szCs w:val="20"/>
              </w:rPr>
              <w:t xml:space="preserve">-63. </w:t>
            </w:r>
          </w:p>
        </w:tc>
        <w:tc>
          <w:tcPr>
            <w:tcW w:w="463" w:type="pct"/>
            <w:vAlign w:val="center"/>
          </w:tcPr>
          <w:p w14:paraId="503C8629" w14:textId="274E6DE2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7/29</w:t>
            </w:r>
          </w:p>
        </w:tc>
        <w:tc>
          <w:tcPr>
            <w:tcW w:w="396" w:type="pct"/>
            <w:vAlign w:val="center"/>
          </w:tcPr>
          <w:p w14:paraId="3CF3A4A4" w14:textId="00462064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21</w:t>
            </w:r>
          </w:p>
        </w:tc>
        <w:tc>
          <w:tcPr>
            <w:tcW w:w="396" w:type="pct"/>
            <w:vAlign w:val="center"/>
          </w:tcPr>
          <w:p w14:paraId="6A0007EF" w14:textId="6CA1467B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3.786</w:t>
            </w:r>
          </w:p>
        </w:tc>
      </w:tr>
      <w:tr w:rsidR="00A151E6" w:rsidRPr="00A22864" w14:paraId="6734147E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30A4A560" w14:textId="552A7E61" w:rsidR="00A151E6" w:rsidRPr="00CF482C" w:rsidRDefault="00A151E6" w:rsidP="00A151E6">
            <w:pPr>
              <w:spacing w:line="276" w:lineRule="auto"/>
              <w:ind w:left="-23"/>
              <w:jc w:val="center"/>
            </w:pPr>
            <w:r w:rsidRPr="00CF482C">
              <w:t>1</w:t>
            </w:r>
            <w:r w:rsidR="00CF482C" w:rsidRPr="00CF482C">
              <w:t>8</w:t>
            </w:r>
            <w:r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37691C55" w14:textId="0C8F2D96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 xml:space="preserve">Milošević N, </w:t>
            </w:r>
            <w:r w:rsidRPr="00CF482C">
              <w:rPr>
                <w:b/>
                <w:bCs/>
                <w:sz w:val="20"/>
                <w:szCs w:val="20"/>
              </w:rPr>
              <w:t>Milanović M</w:t>
            </w:r>
            <w:r w:rsidRPr="00CF482C">
              <w:rPr>
                <w:sz w:val="20"/>
                <w:szCs w:val="20"/>
              </w:rPr>
              <w:t xml:space="preserve">, </w:t>
            </w:r>
            <w:proofErr w:type="spellStart"/>
            <w:r w:rsidRPr="00CF482C">
              <w:rPr>
                <w:sz w:val="20"/>
                <w:szCs w:val="20"/>
              </w:rPr>
              <w:t>Sudji</w:t>
            </w:r>
            <w:proofErr w:type="spellEnd"/>
            <w:r w:rsidRPr="00CF482C">
              <w:rPr>
                <w:sz w:val="20"/>
                <w:szCs w:val="20"/>
              </w:rPr>
              <w:t xml:space="preserve"> J, </w:t>
            </w:r>
            <w:proofErr w:type="spellStart"/>
            <w:r w:rsidRPr="00CF482C">
              <w:rPr>
                <w:sz w:val="20"/>
                <w:szCs w:val="20"/>
              </w:rPr>
              <w:t>Bosić</w:t>
            </w:r>
            <w:proofErr w:type="spellEnd"/>
            <w:r w:rsidRPr="00CF482C">
              <w:rPr>
                <w:sz w:val="20"/>
                <w:szCs w:val="20"/>
              </w:rPr>
              <w:t xml:space="preserve"> </w:t>
            </w:r>
            <w:proofErr w:type="spellStart"/>
            <w:r w:rsidRPr="00CF482C">
              <w:rPr>
                <w:sz w:val="20"/>
                <w:szCs w:val="20"/>
              </w:rPr>
              <w:t>Živanović</w:t>
            </w:r>
            <w:proofErr w:type="spellEnd"/>
            <w:r w:rsidRPr="00CF482C">
              <w:rPr>
                <w:sz w:val="20"/>
                <w:szCs w:val="20"/>
              </w:rPr>
              <w:t xml:space="preserve"> D, </w:t>
            </w:r>
            <w:proofErr w:type="spellStart"/>
            <w:r w:rsidRPr="00CF482C">
              <w:rPr>
                <w:sz w:val="20"/>
                <w:szCs w:val="20"/>
              </w:rPr>
              <w:t>Stojanoski</w:t>
            </w:r>
            <w:proofErr w:type="spellEnd"/>
            <w:r w:rsidRPr="00CF482C">
              <w:rPr>
                <w:sz w:val="20"/>
                <w:szCs w:val="20"/>
              </w:rPr>
              <w:t xml:space="preserve"> S, Vuković B, </w:t>
            </w:r>
            <w:proofErr w:type="spellStart"/>
            <w:r w:rsidRPr="00CF482C">
              <w:rPr>
                <w:sz w:val="20"/>
                <w:szCs w:val="20"/>
              </w:rPr>
              <w:t>Milić</w:t>
            </w:r>
            <w:proofErr w:type="spellEnd"/>
            <w:r w:rsidRPr="00CF482C">
              <w:rPr>
                <w:sz w:val="20"/>
                <w:szCs w:val="20"/>
              </w:rPr>
              <w:t xml:space="preserve"> N, Medić </w:t>
            </w:r>
            <w:proofErr w:type="spellStart"/>
            <w:r w:rsidRPr="00CF482C">
              <w:rPr>
                <w:sz w:val="20"/>
                <w:szCs w:val="20"/>
              </w:rPr>
              <w:t>Stojanoska</w:t>
            </w:r>
            <w:proofErr w:type="spellEnd"/>
            <w:r w:rsidRPr="00CF482C">
              <w:rPr>
                <w:sz w:val="20"/>
                <w:szCs w:val="20"/>
              </w:rPr>
              <w:t xml:space="preserve"> M. </w:t>
            </w:r>
            <w:hyperlink r:id="rId21" w:history="1">
              <w:r w:rsidRPr="00CF482C">
                <w:rPr>
                  <w:rStyle w:val="Hyperlink"/>
                  <w:sz w:val="20"/>
                  <w:szCs w:val="20"/>
                </w:rPr>
                <w:t>Could phthalates exposure contribute to the development of metabolic syndrome and liver disease in humans?</w:t>
              </w:r>
            </w:hyperlink>
            <w:r w:rsidRPr="00CF482C">
              <w:rPr>
                <w:sz w:val="20"/>
                <w:szCs w:val="20"/>
              </w:rPr>
              <w:t xml:space="preserve"> Environ Sci </w:t>
            </w:r>
            <w:proofErr w:type="spellStart"/>
            <w:r w:rsidRPr="00CF482C">
              <w:rPr>
                <w:sz w:val="20"/>
                <w:szCs w:val="20"/>
              </w:rPr>
              <w:t>Pollut</w:t>
            </w:r>
            <w:proofErr w:type="spellEnd"/>
            <w:r w:rsidRPr="00CF482C">
              <w:rPr>
                <w:sz w:val="20"/>
                <w:szCs w:val="20"/>
              </w:rPr>
              <w:t xml:space="preserve"> Res. 2020;27(1):772-84. </w:t>
            </w:r>
          </w:p>
        </w:tc>
        <w:tc>
          <w:tcPr>
            <w:tcW w:w="463" w:type="pct"/>
            <w:vAlign w:val="center"/>
          </w:tcPr>
          <w:p w14:paraId="5670B528" w14:textId="548C9B48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97/274</w:t>
            </w:r>
          </w:p>
        </w:tc>
        <w:tc>
          <w:tcPr>
            <w:tcW w:w="396" w:type="pct"/>
            <w:vAlign w:val="center"/>
          </w:tcPr>
          <w:p w14:paraId="3CE295ED" w14:textId="4A9674E5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22</w:t>
            </w:r>
          </w:p>
        </w:tc>
        <w:tc>
          <w:tcPr>
            <w:tcW w:w="396" w:type="pct"/>
            <w:vAlign w:val="center"/>
          </w:tcPr>
          <w:p w14:paraId="5B9E6922" w14:textId="2C20EE87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4.223</w:t>
            </w:r>
          </w:p>
        </w:tc>
      </w:tr>
      <w:tr w:rsidR="00A151E6" w:rsidRPr="00A22864" w14:paraId="5C4DF66A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54030921" w14:textId="475C474E" w:rsidR="00A151E6" w:rsidRPr="00CF482C" w:rsidRDefault="00A151E6" w:rsidP="00A151E6">
            <w:pPr>
              <w:spacing w:line="276" w:lineRule="auto"/>
              <w:ind w:left="-23"/>
              <w:jc w:val="center"/>
            </w:pPr>
            <w:r w:rsidRPr="00CF482C">
              <w:t>1</w:t>
            </w:r>
            <w:r w:rsidR="00CF482C" w:rsidRPr="00CF482C">
              <w:t>9</w:t>
            </w:r>
            <w:r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13820B49" w14:textId="09F84ADE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CF482C">
              <w:rPr>
                <w:sz w:val="20"/>
                <w:szCs w:val="20"/>
              </w:rPr>
              <w:t>Abenavoli</w:t>
            </w:r>
            <w:proofErr w:type="spellEnd"/>
            <w:r w:rsidRPr="00CF482C">
              <w:rPr>
                <w:sz w:val="20"/>
                <w:szCs w:val="20"/>
              </w:rPr>
              <w:t xml:space="preserve"> L, </w:t>
            </w:r>
            <w:r w:rsidRPr="00CF482C">
              <w:rPr>
                <w:b/>
                <w:bCs/>
                <w:sz w:val="20"/>
                <w:szCs w:val="20"/>
              </w:rPr>
              <w:t>Milanović M</w:t>
            </w:r>
            <w:r w:rsidRPr="00CF482C">
              <w:rPr>
                <w:sz w:val="20"/>
                <w:szCs w:val="20"/>
              </w:rPr>
              <w:t xml:space="preserve">, </w:t>
            </w:r>
            <w:proofErr w:type="spellStart"/>
            <w:r w:rsidRPr="00CF482C">
              <w:rPr>
                <w:sz w:val="20"/>
                <w:szCs w:val="20"/>
              </w:rPr>
              <w:t>Milić</w:t>
            </w:r>
            <w:proofErr w:type="spellEnd"/>
            <w:r w:rsidRPr="00CF482C">
              <w:rPr>
                <w:sz w:val="20"/>
                <w:szCs w:val="20"/>
              </w:rPr>
              <w:t xml:space="preserve"> N, </w:t>
            </w:r>
            <w:proofErr w:type="spellStart"/>
            <w:r w:rsidRPr="00CF482C">
              <w:rPr>
                <w:sz w:val="20"/>
                <w:szCs w:val="20"/>
              </w:rPr>
              <w:t>Luzza</w:t>
            </w:r>
            <w:proofErr w:type="spellEnd"/>
            <w:r w:rsidRPr="00CF482C">
              <w:rPr>
                <w:sz w:val="20"/>
                <w:szCs w:val="20"/>
              </w:rPr>
              <w:t xml:space="preserve"> F, </w:t>
            </w:r>
            <w:proofErr w:type="spellStart"/>
            <w:r w:rsidRPr="00CF482C">
              <w:rPr>
                <w:sz w:val="20"/>
                <w:szCs w:val="20"/>
              </w:rPr>
              <w:t>Giuffrè</w:t>
            </w:r>
            <w:proofErr w:type="spellEnd"/>
            <w:r w:rsidRPr="00CF482C">
              <w:rPr>
                <w:sz w:val="20"/>
                <w:szCs w:val="20"/>
              </w:rPr>
              <w:t xml:space="preserve"> AM. Olive oil antioxidants and non-alcoholic fatty liver disease. Expert Rev Gastroenterol Hepatol. 2019;13(8):739-49.</w:t>
            </w:r>
          </w:p>
        </w:tc>
        <w:tc>
          <w:tcPr>
            <w:tcW w:w="463" w:type="pct"/>
            <w:vAlign w:val="center"/>
          </w:tcPr>
          <w:p w14:paraId="7EF7B041" w14:textId="23DE69AE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41/88</w:t>
            </w:r>
          </w:p>
        </w:tc>
        <w:tc>
          <w:tcPr>
            <w:tcW w:w="396" w:type="pct"/>
            <w:vAlign w:val="center"/>
          </w:tcPr>
          <w:p w14:paraId="7F31AB6A" w14:textId="72F694DC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22</w:t>
            </w:r>
          </w:p>
        </w:tc>
        <w:tc>
          <w:tcPr>
            <w:tcW w:w="396" w:type="pct"/>
            <w:vAlign w:val="center"/>
          </w:tcPr>
          <w:p w14:paraId="2F8A00D0" w14:textId="04C413CB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3.514</w:t>
            </w:r>
          </w:p>
        </w:tc>
      </w:tr>
      <w:tr w:rsidR="00A151E6" w:rsidRPr="00A22864" w14:paraId="4E22206A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35F32BF5" w14:textId="0AB80094" w:rsidR="00A151E6" w:rsidRPr="00CF482C" w:rsidRDefault="00CF482C" w:rsidP="00A151E6">
            <w:pPr>
              <w:spacing w:line="276" w:lineRule="auto"/>
              <w:ind w:left="-23"/>
              <w:jc w:val="center"/>
            </w:pPr>
            <w:r w:rsidRPr="00CF482C">
              <w:t>20</w:t>
            </w:r>
            <w:r w:rsidR="00A151E6"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4CEA1B9D" w14:textId="4C23CCA1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Turk-</w:t>
            </w:r>
            <w:proofErr w:type="spellStart"/>
            <w:r w:rsidRPr="00CF482C">
              <w:rPr>
                <w:sz w:val="20"/>
                <w:szCs w:val="20"/>
              </w:rPr>
              <w:t>Sekulic</w:t>
            </w:r>
            <w:proofErr w:type="spellEnd"/>
            <w:r w:rsidRPr="00CF482C">
              <w:rPr>
                <w:sz w:val="20"/>
                <w:szCs w:val="20"/>
              </w:rPr>
              <w:t xml:space="preserve"> M, Boskovic N, </w:t>
            </w:r>
            <w:r w:rsidRPr="00CF482C">
              <w:rPr>
                <w:b/>
                <w:bCs/>
                <w:sz w:val="20"/>
                <w:szCs w:val="20"/>
              </w:rPr>
              <w:t>Milanovic M</w:t>
            </w:r>
            <w:r w:rsidRPr="00CF482C">
              <w:rPr>
                <w:sz w:val="20"/>
                <w:szCs w:val="20"/>
              </w:rPr>
              <w:t xml:space="preserve">, </w:t>
            </w:r>
            <w:proofErr w:type="spellStart"/>
            <w:r w:rsidRPr="00CF482C">
              <w:rPr>
                <w:sz w:val="20"/>
                <w:szCs w:val="20"/>
              </w:rPr>
              <w:t>Grujic-Letic</w:t>
            </w:r>
            <w:proofErr w:type="spellEnd"/>
            <w:r w:rsidRPr="00CF482C">
              <w:rPr>
                <w:sz w:val="20"/>
                <w:szCs w:val="20"/>
              </w:rPr>
              <w:t xml:space="preserve"> N, </w:t>
            </w:r>
            <w:proofErr w:type="spellStart"/>
            <w:r w:rsidRPr="00CF482C">
              <w:rPr>
                <w:sz w:val="20"/>
                <w:szCs w:val="20"/>
              </w:rPr>
              <w:t>Gligoric</w:t>
            </w:r>
            <w:proofErr w:type="spellEnd"/>
            <w:r w:rsidRPr="00CF482C">
              <w:rPr>
                <w:sz w:val="20"/>
                <w:szCs w:val="20"/>
              </w:rPr>
              <w:t xml:space="preserve"> E, Pap S. </w:t>
            </w:r>
            <w:hyperlink r:id="rId22" w:history="1">
              <w:r w:rsidRPr="00CF482C">
                <w:rPr>
                  <w:rStyle w:val="Hyperlink"/>
                  <w:sz w:val="20"/>
                  <w:szCs w:val="20"/>
                </w:rPr>
                <w:t xml:space="preserve">An insight into the adsorption of three emerging pharmaceutical contaminants on multifunctional carbonous adsorbent: Mechanisms, modelling and metal </w:t>
              </w:r>
              <w:proofErr w:type="spellStart"/>
              <w:r w:rsidRPr="00CF482C">
                <w:rPr>
                  <w:rStyle w:val="Hyperlink"/>
                  <w:sz w:val="20"/>
                  <w:szCs w:val="20"/>
                </w:rPr>
                <w:t>coadsorption</w:t>
              </w:r>
              <w:proofErr w:type="spellEnd"/>
            </w:hyperlink>
            <w:r w:rsidRPr="00CF482C">
              <w:rPr>
                <w:sz w:val="20"/>
                <w:szCs w:val="20"/>
              </w:rPr>
              <w:t xml:space="preserve">. J Mol Liq. </w:t>
            </w:r>
            <w:proofErr w:type="gramStart"/>
            <w:r w:rsidRPr="00CF482C">
              <w:rPr>
                <w:sz w:val="20"/>
                <w:szCs w:val="20"/>
              </w:rPr>
              <w:t>2019;284:372</w:t>
            </w:r>
            <w:proofErr w:type="gramEnd"/>
            <w:r w:rsidRPr="00CF482C">
              <w:rPr>
                <w:sz w:val="20"/>
                <w:szCs w:val="20"/>
              </w:rPr>
              <w:t>-82.</w:t>
            </w:r>
          </w:p>
        </w:tc>
        <w:tc>
          <w:tcPr>
            <w:tcW w:w="463" w:type="pct"/>
            <w:vAlign w:val="center"/>
          </w:tcPr>
          <w:p w14:paraId="4C32260F" w14:textId="603E5076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45/159</w:t>
            </w:r>
          </w:p>
        </w:tc>
        <w:tc>
          <w:tcPr>
            <w:tcW w:w="396" w:type="pct"/>
            <w:vAlign w:val="center"/>
          </w:tcPr>
          <w:p w14:paraId="3AEAE6FD" w14:textId="3F15ED4E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21</w:t>
            </w:r>
          </w:p>
        </w:tc>
        <w:tc>
          <w:tcPr>
            <w:tcW w:w="396" w:type="pct"/>
            <w:vAlign w:val="center"/>
          </w:tcPr>
          <w:p w14:paraId="60AC5412" w14:textId="23E0390E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5.065</w:t>
            </w:r>
          </w:p>
        </w:tc>
      </w:tr>
      <w:tr w:rsidR="00A151E6" w:rsidRPr="00A22864" w14:paraId="2C3312C6" w14:textId="77777777" w:rsidTr="00F21AAA">
        <w:trPr>
          <w:trHeight w:val="227"/>
          <w:jc w:val="center"/>
        </w:trPr>
        <w:tc>
          <w:tcPr>
            <w:tcW w:w="295" w:type="pct"/>
            <w:vAlign w:val="center"/>
          </w:tcPr>
          <w:p w14:paraId="0E424F3D" w14:textId="407645B8" w:rsidR="00A151E6" w:rsidRPr="00CF482C" w:rsidRDefault="00CF482C" w:rsidP="00A151E6">
            <w:pPr>
              <w:spacing w:line="276" w:lineRule="auto"/>
              <w:ind w:left="-23"/>
              <w:jc w:val="center"/>
            </w:pPr>
            <w:r w:rsidRPr="00CF482C">
              <w:t>21</w:t>
            </w:r>
            <w:r w:rsidR="00A151E6" w:rsidRPr="00CF482C">
              <w:t>.</w:t>
            </w:r>
          </w:p>
        </w:tc>
        <w:tc>
          <w:tcPr>
            <w:tcW w:w="3450" w:type="pct"/>
            <w:gridSpan w:val="9"/>
            <w:vAlign w:val="center"/>
          </w:tcPr>
          <w:p w14:paraId="20E68AA3" w14:textId="75FB4B8F" w:rsidR="00A151E6" w:rsidRPr="00CF482C" w:rsidRDefault="00A151E6" w:rsidP="00A151E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CF482C">
              <w:rPr>
                <w:sz w:val="20"/>
                <w:szCs w:val="20"/>
              </w:rPr>
              <w:t>Krstonošić</w:t>
            </w:r>
            <w:proofErr w:type="spellEnd"/>
            <w:r w:rsidRPr="00CF482C">
              <w:rPr>
                <w:sz w:val="20"/>
                <w:szCs w:val="20"/>
              </w:rPr>
              <w:t xml:space="preserve"> V, </w:t>
            </w:r>
            <w:r w:rsidRPr="00CF482C">
              <w:rPr>
                <w:b/>
                <w:bCs/>
                <w:sz w:val="20"/>
                <w:szCs w:val="20"/>
              </w:rPr>
              <w:t>Milanović M</w:t>
            </w:r>
            <w:r w:rsidRPr="00CF482C">
              <w:rPr>
                <w:sz w:val="20"/>
                <w:szCs w:val="20"/>
              </w:rPr>
              <w:t xml:space="preserve">, </w:t>
            </w:r>
            <w:proofErr w:type="spellStart"/>
            <w:r w:rsidRPr="00CF482C">
              <w:rPr>
                <w:sz w:val="20"/>
                <w:szCs w:val="20"/>
              </w:rPr>
              <w:t>Dokić</w:t>
            </w:r>
            <w:proofErr w:type="spellEnd"/>
            <w:r w:rsidRPr="00CF482C">
              <w:rPr>
                <w:sz w:val="20"/>
                <w:szCs w:val="20"/>
              </w:rPr>
              <w:t xml:space="preserve"> </w:t>
            </w:r>
            <w:proofErr w:type="spellStart"/>
            <w:r w:rsidRPr="00CF482C">
              <w:rPr>
                <w:sz w:val="20"/>
                <w:szCs w:val="20"/>
              </w:rPr>
              <w:t>Lj</w:t>
            </w:r>
            <w:proofErr w:type="spellEnd"/>
            <w:r w:rsidRPr="00CF482C">
              <w:rPr>
                <w:sz w:val="20"/>
                <w:szCs w:val="20"/>
              </w:rPr>
              <w:t xml:space="preserve">. </w:t>
            </w:r>
            <w:hyperlink r:id="rId23" w:history="1">
              <w:r w:rsidRPr="00CF482C">
                <w:rPr>
                  <w:rStyle w:val="Hyperlink"/>
                  <w:sz w:val="20"/>
                  <w:szCs w:val="20"/>
                </w:rPr>
                <w:t>Application of different techniques in the determination of xanthan gum-SDS and xanthan gum-Tween 80 interaction</w:t>
              </w:r>
            </w:hyperlink>
            <w:r w:rsidRPr="00CF482C">
              <w:rPr>
                <w:sz w:val="20"/>
                <w:szCs w:val="20"/>
              </w:rPr>
              <w:t xml:space="preserve">. Food </w:t>
            </w:r>
            <w:proofErr w:type="spellStart"/>
            <w:r w:rsidRPr="00CF482C">
              <w:rPr>
                <w:sz w:val="20"/>
                <w:szCs w:val="20"/>
              </w:rPr>
              <w:t>Hydrocoll</w:t>
            </w:r>
            <w:proofErr w:type="spellEnd"/>
            <w:r w:rsidRPr="00CF482C">
              <w:rPr>
                <w:sz w:val="20"/>
                <w:szCs w:val="20"/>
              </w:rPr>
              <w:t xml:space="preserve">. </w:t>
            </w:r>
            <w:proofErr w:type="gramStart"/>
            <w:r w:rsidRPr="00CF482C">
              <w:rPr>
                <w:sz w:val="20"/>
                <w:szCs w:val="20"/>
              </w:rPr>
              <w:t>2019;87:108</w:t>
            </w:r>
            <w:proofErr w:type="gramEnd"/>
            <w:r w:rsidRPr="00CF482C">
              <w:rPr>
                <w:sz w:val="20"/>
                <w:szCs w:val="20"/>
              </w:rPr>
              <w:t>-18.</w:t>
            </w:r>
          </w:p>
        </w:tc>
        <w:tc>
          <w:tcPr>
            <w:tcW w:w="463" w:type="pct"/>
            <w:vAlign w:val="center"/>
          </w:tcPr>
          <w:p w14:paraId="476160E3" w14:textId="2D7666DE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5/139</w:t>
            </w:r>
          </w:p>
        </w:tc>
        <w:tc>
          <w:tcPr>
            <w:tcW w:w="396" w:type="pct"/>
            <w:vAlign w:val="center"/>
          </w:tcPr>
          <w:p w14:paraId="7DCEBDDA" w14:textId="08C966E3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21a</w:t>
            </w:r>
          </w:p>
        </w:tc>
        <w:tc>
          <w:tcPr>
            <w:tcW w:w="396" w:type="pct"/>
            <w:vAlign w:val="center"/>
          </w:tcPr>
          <w:p w14:paraId="7F5648C8" w14:textId="1BB1157E" w:rsidR="00A151E6" w:rsidRPr="00CF482C" w:rsidRDefault="00A151E6" w:rsidP="00A151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F482C">
              <w:rPr>
                <w:sz w:val="20"/>
                <w:szCs w:val="20"/>
              </w:rPr>
              <w:t>7.053</w:t>
            </w:r>
          </w:p>
        </w:tc>
      </w:tr>
      <w:tr w:rsidR="00A151E6" w:rsidRPr="00A22864" w14:paraId="1DACE209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E6401FB" w14:textId="77777777" w:rsidR="00A151E6" w:rsidRPr="00A22864" w:rsidRDefault="00A151E6" w:rsidP="00A151E6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A151E6" w:rsidRPr="00A22864" w14:paraId="61E2A5A2" w14:textId="77777777" w:rsidTr="00F21AAA">
        <w:trPr>
          <w:trHeight w:val="227"/>
          <w:jc w:val="center"/>
        </w:trPr>
        <w:tc>
          <w:tcPr>
            <w:tcW w:w="1810" w:type="pct"/>
            <w:gridSpan w:val="4"/>
            <w:vAlign w:val="center"/>
          </w:tcPr>
          <w:p w14:paraId="0C6843AC" w14:textId="77777777" w:rsidR="00A151E6" w:rsidRPr="00A22864" w:rsidRDefault="00A151E6" w:rsidP="00A151E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3190" w:type="pct"/>
            <w:gridSpan w:val="9"/>
            <w:vAlign w:val="center"/>
          </w:tcPr>
          <w:p w14:paraId="16F8CD24" w14:textId="22767A50" w:rsidR="00A151E6" w:rsidRPr="000D4A0B" w:rsidRDefault="00A151E6" w:rsidP="00A151E6">
            <w:pPr>
              <w:spacing w:after="60"/>
              <w:rPr>
                <w:bCs/>
              </w:rPr>
            </w:pPr>
            <w:r w:rsidRPr="000D4A0B">
              <w:rPr>
                <w:bCs/>
              </w:rPr>
              <w:t>871</w:t>
            </w:r>
          </w:p>
        </w:tc>
      </w:tr>
      <w:tr w:rsidR="00A151E6" w:rsidRPr="00A22864" w14:paraId="553EF9B7" w14:textId="77777777" w:rsidTr="00F21AAA">
        <w:trPr>
          <w:trHeight w:val="227"/>
          <w:jc w:val="center"/>
        </w:trPr>
        <w:tc>
          <w:tcPr>
            <w:tcW w:w="1810" w:type="pct"/>
            <w:gridSpan w:val="4"/>
            <w:vAlign w:val="center"/>
          </w:tcPr>
          <w:p w14:paraId="4EF92399" w14:textId="77777777" w:rsidR="00A151E6" w:rsidRPr="00A22864" w:rsidRDefault="00A151E6" w:rsidP="00A151E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3190" w:type="pct"/>
            <w:gridSpan w:val="9"/>
            <w:vAlign w:val="center"/>
          </w:tcPr>
          <w:p w14:paraId="46D78610" w14:textId="626EEB73" w:rsidR="00A151E6" w:rsidRPr="001C11BC" w:rsidRDefault="00A151E6" w:rsidP="00A151E6">
            <w:pPr>
              <w:spacing w:after="60"/>
              <w:rPr>
                <w:bCs/>
              </w:rPr>
            </w:pPr>
            <w:r w:rsidRPr="001C11BC">
              <w:rPr>
                <w:bCs/>
              </w:rPr>
              <w:t>3</w:t>
            </w:r>
            <w:r w:rsidR="00CF482C">
              <w:rPr>
                <w:bCs/>
              </w:rPr>
              <w:t>9</w:t>
            </w:r>
          </w:p>
        </w:tc>
      </w:tr>
      <w:tr w:rsidR="00A151E6" w:rsidRPr="00A22864" w14:paraId="65DFB72F" w14:textId="77777777" w:rsidTr="00F21AAA">
        <w:trPr>
          <w:trHeight w:val="227"/>
          <w:jc w:val="center"/>
        </w:trPr>
        <w:tc>
          <w:tcPr>
            <w:tcW w:w="1810" w:type="pct"/>
            <w:gridSpan w:val="4"/>
            <w:vAlign w:val="center"/>
          </w:tcPr>
          <w:p w14:paraId="6BFEBC84" w14:textId="77777777" w:rsidR="00A151E6" w:rsidRPr="00A22864" w:rsidRDefault="00A151E6" w:rsidP="00A151E6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389" w:type="pct"/>
            <w:gridSpan w:val="4"/>
            <w:vAlign w:val="center"/>
          </w:tcPr>
          <w:p w14:paraId="26930865" w14:textId="77777777" w:rsidR="00A151E6" w:rsidRPr="002617D8" w:rsidRDefault="00A151E6" w:rsidP="00A151E6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Домаћи</w:t>
            </w:r>
            <w:r>
              <w:t xml:space="preserve">   </w:t>
            </w:r>
            <w:r w:rsidRPr="00E55B82">
              <w:t>3</w:t>
            </w:r>
          </w:p>
        </w:tc>
        <w:tc>
          <w:tcPr>
            <w:tcW w:w="1801" w:type="pct"/>
            <w:gridSpan w:val="5"/>
            <w:vAlign w:val="center"/>
          </w:tcPr>
          <w:p w14:paraId="71B5C8A8" w14:textId="77777777" w:rsidR="00A151E6" w:rsidRPr="002617D8" w:rsidRDefault="00A151E6" w:rsidP="00A151E6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Међународни</w:t>
            </w:r>
            <w:r>
              <w:t xml:space="preserve">    /</w:t>
            </w:r>
          </w:p>
        </w:tc>
      </w:tr>
      <w:tr w:rsidR="00A151E6" w:rsidRPr="00A22864" w14:paraId="5E074ECE" w14:textId="77777777" w:rsidTr="00F21AAA">
        <w:trPr>
          <w:trHeight w:val="227"/>
          <w:jc w:val="center"/>
        </w:trPr>
        <w:tc>
          <w:tcPr>
            <w:tcW w:w="1810" w:type="pct"/>
            <w:gridSpan w:val="4"/>
            <w:vAlign w:val="center"/>
          </w:tcPr>
          <w:p w14:paraId="5283847A" w14:textId="77777777" w:rsidR="00A151E6" w:rsidRPr="00A22864" w:rsidRDefault="00A151E6" w:rsidP="00A151E6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3190" w:type="pct"/>
            <w:gridSpan w:val="9"/>
            <w:vAlign w:val="center"/>
          </w:tcPr>
          <w:p w14:paraId="1A7E2692" w14:textId="77777777" w:rsidR="00A151E6" w:rsidRDefault="00A151E6" w:rsidP="00A151E6">
            <w:pPr>
              <w:rPr>
                <w:bCs/>
              </w:rPr>
            </w:pPr>
            <w:r>
              <w:rPr>
                <w:bCs/>
              </w:rPr>
              <w:t>-</w:t>
            </w:r>
            <w:r w:rsidRPr="002617D8">
              <w:rPr>
                <w:bCs/>
              </w:rPr>
              <w:t xml:space="preserve">Студијски бораваци у оквиру </w:t>
            </w:r>
            <w:r>
              <w:rPr>
                <w:bCs/>
                <w:i/>
                <w:iCs/>
              </w:rPr>
              <w:t xml:space="preserve">MAST4HEALTH </w:t>
            </w:r>
            <w:r w:rsidRPr="002617D8">
              <w:rPr>
                <w:bCs/>
              </w:rPr>
              <w:t>(</w:t>
            </w:r>
            <w:r w:rsidRPr="002617D8">
              <w:rPr>
                <w:bCs/>
                <w:i/>
                <w:iCs/>
              </w:rPr>
              <w:t xml:space="preserve">H2020 </w:t>
            </w:r>
            <w:r w:rsidRPr="002617D8">
              <w:rPr>
                <w:bCs/>
              </w:rPr>
              <w:t xml:space="preserve">пројекта бр. 691042):  </w:t>
            </w:r>
            <w:r w:rsidRPr="002617D8">
              <w:rPr>
                <w:bCs/>
                <w:i/>
                <w:iCs/>
              </w:rPr>
              <w:t>Universitat de Valencia, Biotechvana, Parc Cinetific</w:t>
            </w:r>
            <w:r>
              <w:rPr>
                <w:bCs/>
                <w:i/>
                <w:iCs/>
              </w:rPr>
              <w:t xml:space="preserve">, </w:t>
            </w:r>
            <w:r w:rsidRPr="002617D8">
              <w:rPr>
                <w:bCs/>
              </w:rPr>
              <w:t>Валенсија, Шпанија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 xml:space="preserve">(15.9-16.10.2019.); </w:t>
            </w:r>
            <w:r w:rsidRPr="002617D8">
              <w:rPr>
                <w:bCs/>
                <w:i/>
                <w:iCs/>
              </w:rPr>
              <w:t>Chios Mastiha Growers Association</w:t>
            </w:r>
            <w:r w:rsidRPr="002617D8">
              <w:rPr>
                <w:bCs/>
              </w:rPr>
              <w:t>,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Хиос, Грчка (</w:t>
            </w:r>
            <w:r w:rsidRPr="00154246">
              <w:rPr>
                <w:bCs/>
              </w:rPr>
              <w:t>12.3-11.4.2017.</w:t>
            </w:r>
            <w:r>
              <w:rPr>
                <w:bCs/>
              </w:rPr>
              <w:t xml:space="preserve"> и </w:t>
            </w:r>
            <w:r w:rsidRPr="00154246">
              <w:rPr>
                <w:bCs/>
              </w:rPr>
              <w:t>5.8-24.9.2018.</w:t>
            </w:r>
            <w:r>
              <w:rPr>
                <w:bCs/>
              </w:rPr>
              <w:t>)</w:t>
            </w:r>
          </w:p>
          <w:p w14:paraId="749A783E" w14:textId="77777777" w:rsidR="00A151E6" w:rsidRDefault="00A151E6" w:rsidP="00A151E6">
            <w:pPr>
              <w:rPr>
                <w:bCs/>
              </w:rPr>
            </w:pPr>
            <w:r>
              <w:rPr>
                <w:bCs/>
              </w:rPr>
              <w:t>-</w:t>
            </w:r>
            <w:r w:rsidRPr="00154246">
              <w:rPr>
                <w:bCs/>
              </w:rPr>
              <w:t>Усавршавање у оквиру ERASMUS+ програма мобилности наставног особља</w:t>
            </w:r>
            <w:r>
              <w:rPr>
                <w:bCs/>
              </w:rPr>
              <w:t xml:space="preserve"> </w:t>
            </w:r>
            <w:r w:rsidRPr="00154246">
              <w:rPr>
                <w:bCs/>
                <w:i/>
                <w:iCs/>
              </w:rPr>
              <w:t>University of Naples “Frederico II”, Department of Pharmacy</w:t>
            </w:r>
            <w:r>
              <w:rPr>
                <w:bCs/>
                <w:i/>
                <w:iCs/>
              </w:rPr>
              <w:t>,</w:t>
            </w:r>
            <w:r>
              <w:rPr>
                <w:bCs/>
              </w:rPr>
              <w:t xml:space="preserve"> Напуљ, Италија (4-11.5.2019.)</w:t>
            </w:r>
          </w:p>
          <w:p w14:paraId="6503CE1E" w14:textId="77777777" w:rsidR="00A151E6" w:rsidRPr="00154246" w:rsidRDefault="00A151E6" w:rsidP="00A151E6">
            <w:pPr>
              <w:rPr>
                <w:bCs/>
              </w:rPr>
            </w:pPr>
            <w:r>
              <w:rPr>
                <w:bCs/>
              </w:rPr>
              <w:t>-</w:t>
            </w:r>
            <w:r w:rsidRPr="00154246">
              <w:rPr>
                <w:bCs/>
              </w:rPr>
              <w:t xml:space="preserve">Студијски боравак у оквиру </w:t>
            </w:r>
            <w:r w:rsidRPr="00154246">
              <w:rPr>
                <w:bCs/>
                <w:i/>
                <w:iCs/>
              </w:rPr>
              <w:t>The National Scholarship Programme for the Supports of Mobility of University Students, PhD Students, University Teachers, Researchers and Artists from Abroad</w:t>
            </w:r>
            <w:r>
              <w:rPr>
                <w:bCs/>
                <w:i/>
                <w:iCs/>
              </w:rPr>
              <w:t xml:space="preserve"> на </w:t>
            </w:r>
            <w:r w:rsidRPr="00154246">
              <w:rPr>
                <w:bCs/>
                <w:i/>
                <w:iCs/>
              </w:rPr>
              <w:t>Slovak Technical University, Faculty of Chemical and Food Technology, Department of Analytical Chemistry</w:t>
            </w:r>
            <w:r>
              <w:rPr>
                <w:bCs/>
              </w:rPr>
              <w:t>, Братислава, Словачка (</w:t>
            </w:r>
            <w:r w:rsidRPr="00154246">
              <w:rPr>
                <w:bCs/>
              </w:rPr>
              <w:t>1.6</w:t>
            </w:r>
            <w:r>
              <w:rPr>
                <w:bCs/>
              </w:rPr>
              <w:t>-</w:t>
            </w:r>
            <w:r w:rsidRPr="00154246">
              <w:rPr>
                <w:bCs/>
              </w:rPr>
              <w:t>30.11.2013.</w:t>
            </w:r>
            <w:r>
              <w:rPr>
                <w:bCs/>
              </w:rPr>
              <w:t>)</w:t>
            </w:r>
          </w:p>
        </w:tc>
      </w:tr>
      <w:tr w:rsidR="00A151E6" w:rsidRPr="00A22864" w14:paraId="2E31E414" w14:textId="77777777" w:rsidTr="00F21AAA">
        <w:trPr>
          <w:trHeight w:val="227"/>
          <w:jc w:val="center"/>
        </w:trPr>
        <w:tc>
          <w:tcPr>
            <w:tcW w:w="1810" w:type="pct"/>
            <w:gridSpan w:val="4"/>
            <w:vAlign w:val="center"/>
          </w:tcPr>
          <w:p w14:paraId="596722FB" w14:textId="77777777" w:rsidR="00A151E6" w:rsidRPr="00A22864" w:rsidRDefault="00A151E6" w:rsidP="00A151E6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3190" w:type="pct"/>
            <w:gridSpan w:val="9"/>
            <w:vAlign w:val="center"/>
          </w:tcPr>
          <w:p w14:paraId="64B5D178" w14:textId="77777777" w:rsidR="00A151E6" w:rsidRPr="00E55B82" w:rsidRDefault="00A151E6" w:rsidP="00A151E6">
            <w:pPr>
              <w:spacing w:after="60"/>
              <w:rPr>
                <w:bCs/>
              </w:rPr>
            </w:pPr>
            <w:r w:rsidRPr="00E55B82">
              <w:rPr>
                <w:bCs/>
                <w:i/>
                <w:iCs/>
              </w:rPr>
              <w:t>X-</w:t>
            </w:r>
            <w:r w:rsidRPr="00E55B82">
              <w:rPr>
                <w:bCs/>
              </w:rPr>
              <w:t>индекс 14</w:t>
            </w:r>
          </w:p>
        </w:tc>
      </w:tr>
    </w:tbl>
    <w:p w14:paraId="4B0793EE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2037B"/>
    <w:rsid w:val="00082152"/>
    <w:rsid w:val="000D4A0B"/>
    <w:rsid w:val="00154246"/>
    <w:rsid w:val="001C11BC"/>
    <w:rsid w:val="001D3A3E"/>
    <w:rsid w:val="002617D8"/>
    <w:rsid w:val="002F0555"/>
    <w:rsid w:val="003348EC"/>
    <w:rsid w:val="00380A58"/>
    <w:rsid w:val="00403BB5"/>
    <w:rsid w:val="00405319"/>
    <w:rsid w:val="004247F2"/>
    <w:rsid w:val="00481179"/>
    <w:rsid w:val="00494424"/>
    <w:rsid w:val="004E23F3"/>
    <w:rsid w:val="00505EBB"/>
    <w:rsid w:val="00561BA2"/>
    <w:rsid w:val="00785EBB"/>
    <w:rsid w:val="007D1004"/>
    <w:rsid w:val="008025DD"/>
    <w:rsid w:val="00813FF9"/>
    <w:rsid w:val="00887557"/>
    <w:rsid w:val="008B3CCC"/>
    <w:rsid w:val="008C10A5"/>
    <w:rsid w:val="008E1EAC"/>
    <w:rsid w:val="00923065"/>
    <w:rsid w:val="00975A90"/>
    <w:rsid w:val="009D0D4C"/>
    <w:rsid w:val="00A151E6"/>
    <w:rsid w:val="00AB00FC"/>
    <w:rsid w:val="00AD4435"/>
    <w:rsid w:val="00B52950"/>
    <w:rsid w:val="00BC1678"/>
    <w:rsid w:val="00BD643A"/>
    <w:rsid w:val="00C83407"/>
    <w:rsid w:val="00C87BA4"/>
    <w:rsid w:val="00CE7574"/>
    <w:rsid w:val="00CF482C"/>
    <w:rsid w:val="00D46FF6"/>
    <w:rsid w:val="00D82638"/>
    <w:rsid w:val="00DC7734"/>
    <w:rsid w:val="00E55B82"/>
    <w:rsid w:val="00EA25FB"/>
    <w:rsid w:val="00F21AAA"/>
    <w:rsid w:val="00F34FDD"/>
    <w:rsid w:val="00FA083F"/>
    <w:rsid w:val="00FA5206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6ACF"/>
  <w15:docId w15:val="{463622E6-2DEA-4858-B72B-DB4F8FD4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561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radmila.matic/Desktop/nutrients-16-01226.pdf" TargetMode="External"/><Relationship Id="rId13" Type="http://schemas.openxmlformats.org/officeDocument/2006/relationships/hyperlink" Target="https://pdf.sciencedirectassets.com/271330/1-s2.0-S0009898123X00023/1-s2.0-S0009898123000165/main.pdf?X-Amz-Security-Token=IQoJb3JpZ2luX2VjENH%2F%2F%2F%2F%2F%2F%2F%2F%2F%2FwEaCXVzLWVhc3QtMSJGMEQCIEB5E68Gz0Izso6KXcRXzapSfuXYizE1Dq98YyoGOhVKAiAk3CHKkaMzPPyxn" TargetMode="External"/><Relationship Id="rId18" Type="http://schemas.openxmlformats.org/officeDocument/2006/relationships/hyperlink" Target="https://www.frontiersin.org/articles/10.3389/fimmu.2021.683028/ful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ink.springer.com/article/10.1007/s11356-019-06831-2" TargetMode="External"/><Relationship Id="rId7" Type="http://schemas.openxmlformats.org/officeDocument/2006/relationships/hyperlink" Target="https://www.ncbi.nlm.nih.gov/pmc/articles/PMC11206754/pdf/nutrients-16-01827.pdf" TargetMode="External"/><Relationship Id="rId12" Type="http://schemas.openxmlformats.org/officeDocument/2006/relationships/hyperlink" Target="https://www.mdpi.com/2297-8739/10/4/226" TargetMode="External"/><Relationship Id="rId17" Type="http://schemas.openxmlformats.org/officeDocument/2006/relationships/hyperlink" Target="https://pdf.sciencedirectassets.com/271359/1-s2.0-S0167732221X00207/1-s2.0-S0167732221024211/main.pdf?X-Amz-Security-Token=IQoJb3JpZ2luX2VjEND%2F%2F%2F%2F%2F%2F%2F%2F%2F%2FwEaCXVzLWVhc3QtMSJHMEUCIEuxwGmNPqUpQfq0GsD%2BBrQ4CHm9UVr%2FSLsNuQsURehNAiEAyThymemo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df.sciencedirectassets.com/271369/1-s2.0-S0022286021X0021X/1-s2.0-S0022286021016926/main.pdf?X-Amz-Security-Token=IQoJb3JpZ2luX2VjEND%2F%2F%2F%2F%2F%2F%2F%2F%2F%2FwEaCXVzLWVhc3QtMSJHMEUCIEuxwGmNPqUpQfq0GsD%2BBrQ4CHm9UVr%2FSLsNuQsURehNAiEAyThymemoH" TargetMode="External"/><Relationship Id="rId20" Type="http://schemas.openxmlformats.org/officeDocument/2006/relationships/hyperlink" Target="https://www.sciencedirect.com/science/article/pii/S0009898120302060/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dpi.com/2305-6304/12/7/490" TargetMode="External"/><Relationship Id="rId11" Type="http://schemas.openxmlformats.org/officeDocument/2006/relationships/hyperlink" Target="https://www.ncbi.nlm.nih.gov/pmc/articles/PMC10294057/pdf/WJD-14-705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ubmed.ncbi.nlm.nih.gov/39129338/" TargetMode="External"/><Relationship Id="rId15" Type="http://schemas.openxmlformats.org/officeDocument/2006/relationships/hyperlink" Target="https://link.springer.com/article/10.1007/s11356-021-17273-0" TargetMode="External"/><Relationship Id="rId23" Type="http://schemas.openxmlformats.org/officeDocument/2006/relationships/hyperlink" Target="https://pdf.sciencedirectassets.com/271995/1-s2.0-S0268005X18X00095/1-s2.0-S0268005X18306003/main.pdf?X-Amz-Security-Token=IQoJb3JpZ2luX2VjENH%2F%2F%2F%2F%2F%2F%2F%2F%2F%2FwEaCXVzLWVhc3QtMSJIMEYCIQCmq5701ZK9zLf7%2FC5cGRB7waa0WRHBXrWD%2FNcGgLcs7AIhAIV8Wq8Ix" TargetMode="External"/><Relationship Id="rId10" Type="http://schemas.openxmlformats.org/officeDocument/2006/relationships/hyperlink" Target="https://www.ncbi.nlm.nih.gov/pmc/articles/PMC10456787/pdf/metabolites-13-00959.pdf" TargetMode="External"/><Relationship Id="rId19" Type="http://schemas.openxmlformats.org/officeDocument/2006/relationships/hyperlink" Target="https://onlinelibrary.wiley.com/doi/epdf/10.1002/ardp.202000416" TargetMode="External"/><Relationship Id="rId4" Type="http://schemas.openxmlformats.org/officeDocument/2006/relationships/hyperlink" Target="https://kobson.nb.rs/nauka_u_srbiji.132.html?autor=Milanovic%20Maja%20Lj&amp;samoar=&amp;offset=0" TargetMode="External"/><Relationship Id="rId9" Type="http://schemas.openxmlformats.org/officeDocument/2006/relationships/hyperlink" Target="C://Users/radmila.matic/Desktop/Protective%20Effects%20of%20Natural%20Products%20against%20Acrylamide-Induced%20Hepatotoxicity.pdf" TargetMode="External"/><Relationship Id="rId14" Type="http://schemas.openxmlformats.org/officeDocument/2006/relationships/hyperlink" Target="https://www.ncbi.nlm.nih.gov/pmc/articles/PMC10314113/pdf/CNS-29-43.pdf" TargetMode="External"/><Relationship Id="rId22" Type="http://schemas.openxmlformats.org/officeDocument/2006/relationships/hyperlink" Target="https://pdf.sciencedirectassets.com/271359/1-s2.0-S0167732219X00082/1-s2.0-S0167732218356836/main.pdf?X-Amz-Security-Token=IQoJb3JpZ2luX2VjENH%2F%2F%2F%2F%2F%2F%2F%2F%2F%2FwEaCXVzLWVhc3QtMSJHMEUCIEbJRl4MWLinhaeaMysQQyrEXAAV1oS0l9Qe3uVAV9T%2FAiEA7S9mKc2I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20</cp:revision>
  <cp:lastPrinted>2024-07-24T07:47:00Z</cp:lastPrinted>
  <dcterms:created xsi:type="dcterms:W3CDTF">2023-09-18T13:37:00Z</dcterms:created>
  <dcterms:modified xsi:type="dcterms:W3CDTF">2024-09-19T10:07:00Z</dcterms:modified>
</cp:coreProperties>
</file>