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581"/>
        <w:gridCol w:w="946"/>
        <w:gridCol w:w="6"/>
        <w:gridCol w:w="1450"/>
        <w:gridCol w:w="121"/>
        <w:gridCol w:w="1179"/>
        <w:gridCol w:w="950"/>
        <w:gridCol w:w="86"/>
        <w:gridCol w:w="263"/>
        <w:gridCol w:w="458"/>
        <w:gridCol w:w="872"/>
        <w:gridCol w:w="749"/>
        <w:gridCol w:w="751"/>
      </w:tblGrid>
      <w:tr w:rsidR="00494424" w:rsidRPr="00A22864" w:rsidTr="004B76F8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8" w:type="pct"/>
            <w:gridSpan w:val="11"/>
            <w:vAlign w:val="center"/>
          </w:tcPr>
          <w:p w:rsidR="00494424" w:rsidRPr="00DF5429" w:rsidRDefault="00BE62C9" w:rsidP="008E1BFA">
            <w:pPr>
              <w:spacing w:after="60"/>
            </w:pPr>
            <w:hyperlink r:id="rId5" w:anchor=".Yx8G85ZBzIU" w:history="1">
              <w:r w:rsidR="00DF5429" w:rsidRPr="00252E45">
                <w:rPr>
                  <w:rStyle w:val="Hyperlink"/>
                </w:rPr>
                <w:t>Марија Маринковић</w:t>
              </w:r>
            </w:hyperlink>
          </w:p>
        </w:tc>
      </w:tr>
      <w:tr w:rsidR="00494424" w:rsidRPr="00A22864" w:rsidTr="004B76F8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8" w:type="pct"/>
            <w:gridSpan w:val="11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4B76F8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8" w:type="pct"/>
            <w:gridSpan w:val="11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Пластична, реконструктивна и естетска хирургија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4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4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НС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4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НС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4" w:type="pct"/>
            <w:gridSpan w:val="2"/>
            <w:vAlign w:val="center"/>
          </w:tcPr>
          <w:p w:rsidR="00975A90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842" w:type="pct"/>
            <w:gridSpan w:val="4"/>
            <w:vAlign w:val="center"/>
          </w:tcPr>
          <w:p w:rsidR="00975A90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НС</w:t>
            </w:r>
          </w:p>
        </w:tc>
        <w:tc>
          <w:tcPr>
            <w:tcW w:w="1583" w:type="pct"/>
            <w:gridSpan w:val="6"/>
            <w:vAlign w:val="center"/>
          </w:tcPr>
          <w:p w:rsidR="00975A90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Пластична, реконструктивна и естетска хирургија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4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НС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Фармакологија са токсикологијом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4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B76F8" w:rsidRPr="00A22864" w:rsidTr="004B76F8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4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2003</w:t>
            </w:r>
          </w:p>
        </w:tc>
        <w:tc>
          <w:tcPr>
            <w:tcW w:w="1842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НС</w:t>
            </w:r>
          </w:p>
        </w:tc>
        <w:tc>
          <w:tcPr>
            <w:tcW w:w="1583" w:type="pct"/>
            <w:gridSpan w:val="6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</w:tr>
      <w:tr w:rsidR="00494424" w:rsidRPr="00A22864" w:rsidTr="004C7371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384DDA">
        <w:trPr>
          <w:trHeight w:val="227"/>
          <w:jc w:val="center"/>
        </w:trPr>
        <w:tc>
          <w:tcPr>
            <w:tcW w:w="314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3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384DDA">
        <w:trPr>
          <w:trHeight w:val="227"/>
          <w:jc w:val="center"/>
        </w:trPr>
        <w:tc>
          <w:tcPr>
            <w:tcW w:w="314" w:type="pct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83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DF542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94424" w:rsidRPr="00A22864" w:rsidTr="00384DDA">
        <w:trPr>
          <w:trHeight w:val="227"/>
          <w:jc w:val="center"/>
        </w:trPr>
        <w:tc>
          <w:tcPr>
            <w:tcW w:w="314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384DDA">
        <w:trPr>
          <w:trHeight w:val="227"/>
          <w:jc w:val="center"/>
        </w:trPr>
        <w:tc>
          <w:tcPr>
            <w:tcW w:w="314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C7371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C7371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05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3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05" w:type="pct"/>
            <w:gridSpan w:val="10"/>
          </w:tcPr>
          <w:p w:rsidR="00897F10" w:rsidRPr="00201C9A" w:rsidRDefault="00897F10" w:rsidP="00897F10">
            <w:pPr>
              <w:jc w:val="both"/>
              <w:rPr>
                <w:b/>
                <w:bCs/>
              </w:rPr>
            </w:pPr>
            <w:r>
              <w:t xml:space="preserve">Nikolić J, </w:t>
            </w:r>
            <w:r w:rsidRPr="00897F10">
              <w:rPr>
                <w:b/>
              </w:rPr>
              <w:t>Marinković M</w:t>
            </w:r>
            <w:r>
              <w:t xml:space="preserve">, Leković D, Đozić I. </w:t>
            </w:r>
            <w:r>
              <w:fldChar w:fldCharType="begin"/>
            </w:r>
            <w:r>
              <w:instrText xml:space="preserve"> HYPERLINK "https://scindeks-clanci.ceon.rs/data/pdf/0042-8450/2022/0042-84502208757N.pdf" </w:instrText>
            </w:r>
            <w:r>
              <w:fldChar w:fldCharType="separate"/>
            </w:r>
            <w:r w:rsidRPr="00897F10">
              <w:rPr>
                <w:rStyle w:val="Hyperlink"/>
              </w:rPr>
              <w:t>Evaluation of hand injury management at the emergency department: Are we getting better?</w:t>
            </w:r>
            <w:r>
              <w:fldChar w:fldCharType="end"/>
            </w:r>
            <w:r>
              <w:t xml:space="preserve">. Vojnosanit Pregl. 2022;79(8):757-63. doi: </w:t>
            </w:r>
            <w:r w:rsidRPr="00897F10">
              <w:fldChar w:fldCharType="begin"/>
            </w:r>
            <w:r w:rsidRPr="00897F10">
              <w:instrText xml:space="preserve"> HYPERLINK "https://doi.org/10.2298/VSP200308035N" \t "_blank" </w:instrText>
            </w:r>
            <w:r w:rsidRPr="00897F10">
              <w:fldChar w:fldCharType="separate"/>
            </w:r>
            <w:r w:rsidRPr="00897F10">
              <w:rPr>
                <w:rStyle w:val="Hyperlink"/>
                <w:color w:val="auto"/>
                <w:u w:val="none"/>
              </w:rPr>
              <w:t>10.2298/VSP200308035N</w:t>
            </w:r>
            <w:r w:rsidRPr="00897F10">
              <w:fldChar w:fldCharType="end"/>
            </w:r>
          </w:p>
        </w:tc>
        <w:tc>
          <w:tcPr>
            <w:tcW w:w="434" w:type="pct"/>
          </w:tcPr>
          <w:p w:rsidR="00897F10" w:rsidRPr="00252E45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3" w:type="pct"/>
          </w:tcPr>
          <w:p w:rsidR="00897F10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97F10" w:rsidRPr="00201C9A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897F10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897F10" w:rsidRPr="0039744A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05" w:type="pct"/>
            <w:gridSpan w:val="10"/>
          </w:tcPr>
          <w:p w:rsidR="00897F10" w:rsidRPr="00201C9A" w:rsidRDefault="00897F10" w:rsidP="00B25BE0">
            <w:pPr>
              <w:jc w:val="both"/>
              <w:rPr>
                <w:rFonts w:eastAsia="Times New Roman"/>
                <w:lang w:eastAsia="en-GB"/>
              </w:rPr>
            </w:pPr>
            <w:r w:rsidRPr="00201C9A">
              <w:rPr>
                <w:b/>
                <w:bCs/>
              </w:rPr>
              <w:t>Marinković M,</w:t>
            </w:r>
            <w:r w:rsidRPr="00201C9A">
              <w:t xml:space="preserve"> Nikolić J, Gusman V, Jovanović M, Rašović P. </w:t>
            </w:r>
            <w:r>
              <w:fldChar w:fldCharType="begin"/>
            </w:r>
            <w:r>
              <w:instrText xml:space="preserve"> HYPERLINK "http://www.doiserbia.nb.rs/img/doi/0370-8179/2022/0370-81792200065M.pdf" </w:instrText>
            </w:r>
            <w:r>
              <w:fldChar w:fldCharType="separate"/>
            </w:r>
            <w:r w:rsidRPr="00252E45">
              <w:rPr>
                <w:rStyle w:val="Hyperlink"/>
              </w:rPr>
              <w:t>Silicon breast implants texture affecting bacterial biofilm formation</w:t>
            </w:r>
            <w:r>
              <w:fldChar w:fldCharType="end"/>
            </w:r>
            <w:r w:rsidRPr="00201C9A">
              <w:t>. Srp Arh Celok Lek. 2022;</w:t>
            </w:r>
            <w:r>
              <w:t>150</w:t>
            </w:r>
            <w:r w:rsidRPr="00201C9A">
              <w:t xml:space="preserve">(7-8):439-44. </w:t>
            </w:r>
            <w:r w:rsidRPr="00151456">
              <w:t>Doi: https://doi.org/10.2298/SARH211012065M</w:t>
            </w:r>
          </w:p>
        </w:tc>
        <w:tc>
          <w:tcPr>
            <w:tcW w:w="434" w:type="pct"/>
          </w:tcPr>
          <w:p w:rsidR="00897F10" w:rsidRPr="00252E45" w:rsidRDefault="00897F10" w:rsidP="00201C9A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3" w:type="pct"/>
          </w:tcPr>
          <w:p w:rsidR="00897F10" w:rsidRDefault="00897F10" w:rsidP="00201C9A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97F10" w:rsidRPr="00201C9A" w:rsidRDefault="00897F10" w:rsidP="00201C9A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897F10" w:rsidRDefault="00897F10" w:rsidP="00201C9A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897F10" w:rsidRPr="0039744A" w:rsidRDefault="00897F10" w:rsidP="00201C9A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Default="00897F10" w:rsidP="00F53544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05" w:type="pct"/>
            <w:gridSpan w:val="10"/>
          </w:tcPr>
          <w:p w:rsidR="00897F10" w:rsidRPr="00201C9A" w:rsidRDefault="00897F10" w:rsidP="00B25BE0">
            <w:pPr>
              <w:jc w:val="both"/>
            </w:pPr>
            <w:r w:rsidRPr="00201C9A">
              <w:t xml:space="preserve">Nikolić J, </w:t>
            </w:r>
            <w:r w:rsidRPr="00201C9A">
              <w:rPr>
                <w:b/>
                <w:bCs/>
              </w:rPr>
              <w:t>Marinković M,</w:t>
            </w:r>
            <w:r w:rsidRPr="00201C9A">
              <w:t xml:space="preserve"> Jovanović M, Mijatov I, Božić T. </w:t>
            </w:r>
            <w:r>
              <w:fldChar w:fldCharType="begin"/>
            </w:r>
            <w:r>
              <w:instrText xml:space="preserve"> HYPERLINK "http://www.doiserbia.nb.rs/img/doi/0042-8450/2022/0042-84502000078N.pdf" </w:instrText>
            </w:r>
            <w:r>
              <w:fldChar w:fldCharType="separate"/>
            </w:r>
            <w:r w:rsidRPr="00151456">
              <w:rPr>
                <w:rStyle w:val="Hyperlink"/>
              </w:rPr>
              <w:t>Evaluation of upper blepharoplasty outcome-objective measurements and patients` satisfaction</w:t>
            </w:r>
            <w:r>
              <w:fldChar w:fldCharType="end"/>
            </w:r>
            <w:r w:rsidRPr="00201C9A">
              <w:t xml:space="preserve">.  Vojnosanit Pregl. </w:t>
            </w:r>
            <w:r>
              <w:t>2022;79(1):40-7</w:t>
            </w:r>
            <w:r w:rsidRPr="00201C9A">
              <w:t xml:space="preserve">. Doi: </w:t>
            </w:r>
            <w:r w:rsidRPr="00151456">
              <w:t>https://doi.org/10.2298/VSP190824078N</w:t>
            </w:r>
          </w:p>
        </w:tc>
        <w:tc>
          <w:tcPr>
            <w:tcW w:w="434" w:type="pct"/>
          </w:tcPr>
          <w:p w:rsidR="00897F10" w:rsidRPr="00252E45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3" w:type="pct"/>
          </w:tcPr>
          <w:p w:rsidR="00897F10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97F10" w:rsidRPr="00201C9A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897F10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897F10" w:rsidRPr="0039744A" w:rsidRDefault="00897F10" w:rsidP="00F53544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</w:p>
        </w:tc>
      </w:tr>
      <w:tr w:rsidR="00897F10" w:rsidRPr="00A22864" w:rsidTr="00617B68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05" w:type="pct"/>
            <w:gridSpan w:val="10"/>
          </w:tcPr>
          <w:p w:rsidR="00897F10" w:rsidRPr="008A01CA" w:rsidRDefault="00897F10" w:rsidP="00B25BE0">
            <w:pPr>
              <w:tabs>
                <w:tab w:val="left" w:pos="1064"/>
              </w:tabs>
              <w:jc w:val="both"/>
            </w:pPr>
            <w:r w:rsidRPr="00384DDA">
              <w:rPr>
                <w:shd w:val="clear" w:color="auto" w:fill="FFFFFF"/>
              </w:rPr>
              <w:t>Jovanović M</w:t>
            </w:r>
            <w:r w:rsidRPr="00137DDB">
              <w:rPr>
                <w:shd w:val="clear" w:color="auto" w:fill="FFFFFF"/>
              </w:rPr>
              <w:t xml:space="preserve">, Janjić Z, Komarčević A, Mijatović-Jovanović V, </w:t>
            </w:r>
            <w:r w:rsidRPr="00384DDA">
              <w:rPr>
                <w:b/>
                <w:shd w:val="clear" w:color="auto" w:fill="FFFFFF"/>
              </w:rPr>
              <w:t>Marinković M</w:t>
            </w:r>
            <w:r w:rsidRPr="00137DDB">
              <w:rPr>
                <w:shd w:val="clear" w:color="auto" w:fill="FFFFFF"/>
              </w:rPr>
              <w:t>, Tomić M</w:t>
            </w:r>
            <w:r w:rsidRPr="00EA2E68">
              <w:rPr>
                <w:shd w:val="clear" w:color="auto" w:fill="FFFFFF"/>
              </w:rPr>
              <w:t xml:space="preserve">. </w:t>
            </w:r>
            <w:hyperlink r:id="rId6" w:history="1">
              <w:r w:rsidRPr="00EA2E68">
                <w:rPr>
                  <w:rStyle w:val="Hyperlink"/>
                  <w:shd w:val="clear" w:color="auto" w:fill="FFFFFF"/>
                </w:rPr>
                <w:t>Neurocutaneous flaps for soft tissue reconstruction of the knee, lower leg, ankle and foot: Clinical experience with 32 patients</w:t>
              </w:r>
            </w:hyperlink>
            <w:r w:rsidRPr="00EA2E68">
              <w:rPr>
                <w:shd w:val="clear" w:color="auto" w:fill="FFFFFF"/>
              </w:rPr>
              <w:t>.</w:t>
            </w:r>
            <w:r w:rsidRPr="00137DDB">
              <w:rPr>
                <w:shd w:val="clear" w:color="auto" w:fill="FFFFFF"/>
              </w:rPr>
              <w:t xml:space="preserve"> Vojnosanit Pregl</w:t>
            </w:r>
            <w:r>
              <w:rPr>
                <w:shd w:val="clear" w:color="auto" w:fill="FFFFFF"/>
              </w:rPr>
              <w:t>.</w:t>
            </w:r>
            <w:r>
              <w:t xml:space="preserve"> 2019;76(6):620-</w:t>
            </w:r>
            <w:r w:rsidRPr="00137DDB">
              <w:t>7.</w:t>
            </w:r>
          </w:p>
        </w:tc>
        <w:tc>
          <w:tcPr>
            <w:tcW w:w="434" w:type="pct"/>
            <w:vAlign w:val="center"/>
          </w:tcPr>
          <w:p w:rsidR="00897F10" w:rsidRPr="008A01CA" w:rsidRDefault="00897F10" w:rsidP="00316DB3">
            <w:pPr>
              <w:jc w:val="center"/>
            </w:pPr>
            <w:r w:rsidRPr="008A01CA">
              <w:t>161/165</w:t>
            </w:r>
          </w:p>
        </w:tc>
        <w:tc>
          <w:tcPr>
            <w:tcW w:w="373" w:type="pct"/>
            <w:vAlign w:val="center"/>
          </w:tcPr>
          <w:p w:rsidR="00897F10" w:rsidRPr="008A01CA" w:rsidRDefault="00897F10" w:rsidP="00316DB3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23</w:t>
            </w:r>
          </w:p>
        </w:tc>
        <w:tc>
          <w:tcPr>
            <w:tcW w:w="374" w:type="pct"/>
            <w:vAlign w:val="center"/>
          </w:tcPr>
          <w:p w:rsidR="00897F10" w:rsidRPr="008A01CA" w:rsidRDefault="00897F10" w:rsidP="00316DB3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0.152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05" w:type="pct"/>
            <w:gridSpan w:val="10"/>
          </w:tcPr>
          <w:p w:rsidR="00897F10" w:rsidRPr="000022A6" w:rsidRDefault="00897F10" w:rsidP="00B25BE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39744A">
              <w:rPr>
                <w:sz w:val="20"/>
                <w:szCs w:val="20"/>
              </w:rPr>
              <w:t>Kandolf-Sekulović</w:t>
            </w:r>
            <w:proofErr w:type="spellEnd"/>
            <w:r w:rsidRPr="0039744A">
              <w:rPr>
                <w:sz w:val="20"/>
                <w:szCs w:val="20"/>
              </w:rPr>
              <w:t xml:space="preserve"> L, </w:t>
            </w:r>
            <w:proofErr w:type="spellStart"/>
            <w:r w:rsidRPr="0039744A">
              <w:rPr>
                <w:sz w:val="20"/>
                <w:szCs w:val="20"/>
              </w:rPr>
              <w:t>Babović</w:t>
            </w:r>
            <w:proofErr w:type="spellEnd"/>
            <w:r w:rsidRPr="0039744A">
              <w:rPr>
                <w:sz w:val="20"/>
                <w:szCs w:val="20"/>
              </w:rPr>
              <w:t xml:space="preserve"> N, </w:t>
            </w:r>
            <w:proofErr w:type="spellStart"/>
            <w:r w:rsidRPr="0039744A">
              <w:rPr>
                <w:sz w:val="20"/>
                <w:szCs w:val="20"/>
              </w:rPr>
              <w:t>Jokić</w:t>
            </w:r>
            <w:proofErr w:type="spellEnd"/>
            <w:r w:rsidRPr="0039744A">
              <w:rPr>
                <w:sz w:val="20"/>
                <w:szCs w:val="20"/>
              </w:rPr>
              <w:t xml:space="preserve"> N, </w:t>
            </w:r>
            <w:proofErr w:type="spellStart"/>
            <w:r w:rsidRPr="0039744A">
              <w:rPr>
                <w:sz w:val="20"/>
                <w:szCs w:val="20"/>
              </w:rPr>
              <w:t>Balić</w:t>
            </w:r>
            <w:proofErr w:type="spellEnd"/>
            <w:r w:rsidRPr="0039744A">
              <w:rPr>
                <w:sz w:val="20"/>
                <w:szCs w:val="20"/>
              </w:rPr>
              <w:t xml:space="preserve"> M, </w:t>
            </w:r>
            <w:proofErr w:type="spellStart"/>
            <w:r w:rsidRPr="0039744A">
              <w:rPr>
                <w:sz w:val="20"/>
                <w:szCs w:val="20"/>
              </w:rPr>
              <w:t>Nikolin</w:t>
            </w:r>
            <w:proofErr w:type="spellEnd"/>
            <w:r w:rsidRPr="0039744A">
              <w:rPr>
                <w:sz w:val="20"/>
                <w:szCs w:val="20"/>
              </w:rPr>
              <w:t xml:space="preserve"> B, </w:t>
            </w:r>
            <w:proofErr w:type="spellStart"/>
            <w:r w:rsidRPr="0039744A">
              <w:rPr>
                <w:sz w:val="20"/>
                <w:szCs w:val="20"/>
              </w:rPr>
              <w:t>Nikolić</w:t>
            </w:r>
            <w:proofErr w:type="spellEnd"/>
            <w:r w:rsidRPr="0039744A">
              <w:rPr>
                <w:sz w:val="20"/>
                <w:szCs w:val="20"/>
              </w:rPr>
              <w:t xml:space="preserve"> D, </w:t>
            </w:r>
            <w:proofErr w:type="spellStart"/>
            <w:r w:rsidRPr="0039744A">
              <w:rPr>
                <w:sz w:val="20"/>
                <w:szCs w:val="20"/>
              </w:rPr>
              <w:t>Janjić</w:t>
            </w:r>
            <w:proofErr w:type="spellEnd"/>
            <w:r w:rsidRPr="0039744A">
              <w:rPr>
                <w:sz w:val="20"/>
                <w:szCs w:val="20"/>
              </w:rPr>
              <w:t xml:space="preserve"> Z, </w:t>
            </w:r>
            <w:proofErr w:type="spellStart"/>
            <w:r w:rsidRPr="0039744A">
              <w:rPr>
                <w:sz w:val="20"/>
                <w:szCs w:val="20"/>
              </w:rPr>
              <w:t>Mijušković</w:t>
            </w:r>
            <w:proofErr w:type="spellEnd"/>
            <w:r w:rsidRPr="0039744A">
              <w:rPr>
                <w:sz w:val="20"/>
                <w:szCs w:val="20"/>
              </w:rPr>
              <w:t xml:space="preserve"> Ž, </w:t>
            </w:r>
            <w:proofErr w:type="spellStart"/>
            <w:r w:rsidRPr="0039744A">
              <w:rPr>
                <w:sz w:val="20"/>
                <w:szCs w:val="20"/>
              </w:rPr>
              <w:t>Rajović</w:t>
            </w:r>
            <w:proofErr w:type="spellEnd"/>
            <w:r w:rsidRPr="0039744A">
              <w:rPr>
                <w:sz w:val="20"/>
                <w:szCs w:val="20"/>
              </w:rPr>
              <w:t xml:space="preserve"> M, </w:t>
            </w:r>
            <w:proofErr w:type="spellStart"/>
            <w:r w:rsidRPr="0039744A">
              <w:rPr>
                <w:sz w:val="20"/>
                <w:szCs w:val="20"/>
              </w:rPr>
              <w:t>Novaković</w:t>
            </w:r>
            <w:proofErr w:type="spellEnd"/>
            <w:r w:rsidRPr="0039744A">
              <w:rPr>
                <w:sz w:val="20"/>
                <w:szCs w:val="20"/>
              </w:rPr>
              <w:t xml:space="preserve"> M, </w:t>
            </w:r>
            <w:proofErr w:type="spellStart"/>
            <w:r w:rsidRPr="0039744A">
              <w:rPr>
                <w:sz w:val="20"/>
                <w:szCs w:val="20"/>
              </w:rPr>
              <w:t>Vrbić</w:t>
            </w:r>
            <w:proofErr w:type="spellEnd"/>
            <w:r w:rsidRPr="0039744A">
              <w:rPr>
                <w:sz w:val="20"/>
                <w:szCs w:val="20"/>
              </w:rPr>
              <w:t xml:space="preserve"> S, </w:t>
            </w:r>
            <w:proofErr w:type="spellStart"/>
            <w:r w:rsidRPr="0039744A">
              <w:rPr>
                <w:sz w:val="20"/>
                <w:szCs w:val="20"/>
              </w:rPr>
              <w:t>Pejčić</w:t>
            </w:r>
            <w:proofErr w:type="spellEnd"/>
            <w:r w:rsidRPr="0039744A">
              <w:rPr>
                <w:sz w:val="20"/>
                <w:szCs w:val="20"/>
              </w:rPr>
              <w:t xml:space="preserve"> I, </w:t>
            </w:r>
            <w:proofErr w:type="spellStart"/>
            <w:r w:rsidRPr="0039744A">
              <w:rPr>
                <w:sz w:val="20"/>
                <w:szCs w:val="20"/>
              </w:rPr>
              <w:t>Kovačević</w:t>
            </w:r>
            <w:proofErr w:type="spellEnd"/>
            <w:r w:rsidRPr="0039744A">
              <w:rPr>
                <w:sz w:val="20"/>
                <w:szCs w:val="20"/>
              </w:rPr>
              <w:t xml:space="preserve"> P, </w:t>
            </w:r>
            <w:proofErr w:type="spellStart"/>
            <w:r w:rsidRPr="0039744A">
              <w:rPr>
                <w:sz w:val="20"/>
                <w:szCs w:val="20"/>
              </w:rPr>
              <w:t>Mihajlović</w:t>
            </w:r>
            <w:proofErr w:type="spellEnd"/>
            <w:r w:rsidRPr="0039744A">
              <w:rPr>
                <w:sz w:val="20"/>
                <w:szCs w:val="20"/>
              </w:rPr>
              <w:t xml:space="preserve"> D, </w:t>
            </w:r>
            <w:proofErr w:type="spellStart"/>
            <w:r w:rsidRPr="0039744A">
              <w:rPr>
                <w:sz w:val="20"/>
                <w:szCs w:val="20"/>
              </w:rPr>
              <w:t>Roganović</w:t>
            </w:r>
            <w:proofErr w:type="spellEnd"/>
            <w:r w:rsidRPr="0039744A">
              <w:rPr>
                <w:sz w:val="20"/>
                <w:szCs w:val="20"/>
              </w:rPr>
              <w:t xml:space="preserve"> T, </w:t>
            </w:r>
            <w:proofErr w:type="spellStart"/>
            <w:r w:rsidRPr="0039744A">
              <w:rPr>
                <w:sz w:val="20"/>
                <w:szCs w:val="20"/>
              </w:rPr>
              <w:t>Ferenc</w:t>
            </w:r>
            <w:proofErr w:type="spellEnd"/>
            <w:r w:rsidRPr="0039744A">
              <w:rPr>
                <w:sz w:val="20"/>
                <w:szCs w:val="20"/>
              </w:rPr>
              <w:t xml:space="preserve"> V, </w:t>
            </w:r>
            <w:proofErr w:type="spellStart"/>
            <w:r w:rsidRPr="00201C9A">
              <w:rPr>
                <w:bCs/>
                <w:sz w:val="20"/>
                <w:szCs w:val="20"/>
              </w:rPr>
              <w:t>Nikolić</w:t>
            </w:r>
            <w:proofErr w:type="spellEnd"/>
            <w:r w:rsidRPr="00201C9A">
              <w:rPr>
                <w:bCs/>
                <w:sz w:val="20"/>
                <w:szCs w:val="20"/>
              </w:rPr>
              <w:t xml:space="preserve"> J,</w:t>
            </w:r>
            <w:r w:rsidRPr="0039744A">
              <w:rPr>
                <w:sz w:val="20"/>
                <w:szCs w:val="20"/>
              </w:rPr>
              <w:t xml:space="preserve"> </w:t>
            </w:r>
            <w:proofErr w:type="spellStart"/>
            <w:r w:rsidRPr="00201C9A">
              <w:rPr>
                <w:b/>
                <w:bCs/>
                <w:sz w:val="20"/>
                <w:szCs w:val="20"/>
              </w:rPr>
              <w:t>Marinković</w:t>
            </w:r>
            <w:proofErr w:type="spellEnd"/>
            <w:r w:rsidRPr="00201C9A">
              <w:rPr>
                <w:b/>
                <w:bCs/>
                <w:sz w:val="20"/>
                <w:szCs w:val="20"/>
              </w:rPr>
              <w:t xml:space="preserve"> M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Bizetić</w:t>
            </w:r>
            <w:proofErr w:type="spellEnd"/>
            <w:r w:rsidRPr="0039744A">
              <w:rPr>
                <w:sz w:val="20"/>
                <w:szCs w:val="20"/>
              </w:rPr>
              <w:t xml:space="preserve"> Z. </w:t>
            </w:r>
            <w:hyperlink r:id="rId7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Clinicopathological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8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characteristics, diagnosis and treatment of melanoma in Serbia – t he Melanoma</w:t>
              </w:r>
            </w:hyperlink>
            <w:r w:rsidRPr="0039744A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9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Focus Study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39744A">
              <w:rPr>
                <w:sz w:val="20"/>
                <w:szCs w:val="20"/>
              </w:rPr>
              <w:t>Vojnosanit</w:t>
            </w:r>
            <w:proofErr w:type="spellEnd"/>
            <w:r w:rsidRPr="0039744A">
              <w:rPr>
                <w:sz w:val="20"/>
                <w:szCs w:val="20"/>
              </w:rPr>
              <w:t xml:space="preserve"> Pregl. 2015;72(4):312-6.</w:t>
            </w:r>
          </w:p>
        </w:tc>
        <w:tc>
          <w:tcPr>
            <w:tcW w:w="434" w:type="pct"/>
          </w:tcPr>
          <w:p w:rsidR="00897F10" w:rsidRPr="0039744A" w:rsidRDefault="00897F10" w:rsidP="00201C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97F10" w:rsidRPr="0039744A" w:rsidRDefault="00897F10" w:rsidP="00201C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134/155</w:t>
            </w:r>
          </w:p>
        </w:tc>
        <w:tc>
          <w:tcPr>
            <w:tcW w:w="373" w:type="pct"/>
          </w:tcPr>
          <w:p w:rsidR="00897F10" w:rsidRPr="0039744A" w:rsidRDefault="00897F10" w:rsidP="00201C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97F10" w:rsidRPr="0039744A" w:rsidRDefault="00897F10" w:rsidP="00201C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374" w:type="pct"/>
          </w:tcPr>
          <w:p w:rsidR="00897F10" w:rsidRPr="0039744A" w:rsidRDefault="00897F10" w:rsidP="00201C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97F10" w:rsidRPr="0039744A" w:rsidRDefault="00897F10" w:rsidP="00201C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05" w:type="pct"/>
            <w:gridSpan w:val="10"/>
          </w:tcPr>
          <w:p w:rsidR="00897F10" w:rsidRPr="000022A6" w:rsidRDefault="00897F10" w:rsidP="00B25BE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39744A">
              <w:rPr>
                <w:sz w:val="20"/>
                <w:szCs w:val="20"/>
              </w:rPr>
              <w:t>Kiralj</w:t>
            </w:r>
            <w:proofErr w:type="spellEnd"/>
            <w:r w:rsidRPr="0039744A">
              <w:rPr>
                <w:sz w:val="20"/>
                <w:szCs w:val="20"/>
              </w:rPr>
              <w:t xml:space="preserve"> A, </w:t>
            </w:r>
            <w:proofErr w:type="spellStart"/>
            <w:r w:rsidRPr="0039744A">
              <w:rPr>
                <w:sz w:val="20"/>
                <w:szCs w:val="20"/>
              </w:rPr>
              <w:t>Janjić</w:t>
            </w:r>
            <w:proofErr w:type="spellEnd"/>
            <w:r w:rsidRPr="0039744A">
              <w:rPr>
                <w:sz w:val="20"/>
                <w:szCs w:val="20"/>
              </w:rPr>
              <w:t xml:space="preserve"> Z, </w:t>
            </w:r>
            <w:proofErr w:type="spellStart"/>
            <w:r w:rsidRPr="00201C9A">
              <w:rPr>
                <w:bCs/>
                <w:sz w:val="20"/>
                <w:szCs w:val="20"/>
              </w:rPr>
              <w:t>Nikolić</w:t>
            </w:r>
            <w:proofErr w:type="spellEnd"/>
            <w:r w:rsidRPr="00201C9A">
              <w:rPr>
                <w:bCs/>
                <w:sz w:val="20"/>
                <w:szCs w:val="20"/>
              </w:rPr>
              <w:t xml:space="preserve"> J</w:t>
            </w:r>
            <w:r w:rsidRPr="0039744A">
              <w:rPr>
                <w:sz w:val="20"/>
                <w:szCs w:val="20"/>
              </w:rPr>
              <w:t xml:space="preserve">, Markov B, </w:t>
            </w:r>
            <w:proofErr w:type="spellStart"/>
            <w:r w:rsidRPr="00201C9A">
              <w:rPr>
                <w:b/>
                <w:bCs/>
                <w:sz w:val="20"/>
                <w:szCs w:val="20"/>
              </w:rPr>
              <w:t>Marinković</w:t>
            </w:r>
            <w:proofErr w:type="spellEnd"/>
            <w:r w:rsidRPr="00201C9A">
              <w:rPr>
                <w:b/>
                <w:bCs/>
                <w:sz w:val="20"/>
                <w:szCs w:val="20"/>
              </w:rPr>
              <w:t xml:space="preserve"> M</w:t>
            </w:r>
            <w:r w:rsidRPr="0039744A">
              <w:rPr>
                <w:sz w:val="20"/>
                <w:szCs w:val="20"/>
              </w:rPr>
              <w:t xml:space="preserve">. </w:t>
            </w:r>
            <w:hyperlink r:id="rId10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 5-year retrospective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11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analysis of necrotizing fasciitis-a single center experiences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39744A">
              <w:rPr>
                <w:sz w:val="20"/>
                <w:szCs w:val="20"/>
              </w:rPr>
              <w:t>Vojnosanit</w:t>
            </w:r>
            <w:proofErr w:type="spellEnd"/>
            <w:r w:rsidRPr="0039744A">
              <w:rPr>
                <w:sz w:val="20"/>
                <w:szCs w:val="20"/>
              </w:rPr>
              <w:t xml:space="preserve"> Pregl. 2015; </w:t>
            </w:r>
            <w:r w:rsidRPr="0039744A">
              <w:rPr>
                <w:sz w:val="20"/>
                <w:szCs w:val="20"/>
              </w:rPr>
              <w:lastRenderedPageBreak/>
              <w:t>72(3):258-64.</w:t>
            </w:r>
          </w:p>
        </w:tc>
        <w:tc>
          <w:tcPr>
            <w:tcW w:w="434" w:type="pct"/>
          </w:tcPr>
          <w:p w:rsidR="00897F10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134/155</w:t>
            </w:r>
          </w:p>
        </w:tc>
        <w:tc>
          <w:tcPr>
            <w:tcW w:w="373" w:type="pct"/>
          </w:tcPr>
          <w:p w:rsidR="00897F10" w:rsidRPr="0039744A" w:rsidRDefault="00897F10" w:rsidP="00201C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374" w:type="pct"/>
          </w:tcPr>
          <w:p w:rsidR="00897F10" w:rsidRPr="0039744A" w:rsidRDefault="00897F10" w:rsidP="00201C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0022A6" w:rsidRDefault="00897F10" w:rsidP="00F53544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505" w:type="pct"/>
            <w:gridSpan w:val="10"/>
          </w:tcPr>
          <w:p w:rsidR="00897F10" w:rsidRPr="000022A6" w:rsidRDefault="00897F10" w:rsidP="00B25BE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01C9A">
              <w:rPr>
                <w:b/>
                <w:bCs/>
                <w:sz w:val="20"/>
                <w:szCs w:val="20"/>
              </w:rPr>
              <w:t>Marinković</w:t>
            </w:r>
            <w:proofErr w:type="spellEnd"/>
            <w:r w:rsidRPr="00201C9A">
              <w:rPr>
                <w:b/>
                <w:bCs/>
                <w:sz w:val="20"/>
                <w:szCs w:val="20"/>
              </w:rPr>
              <w:t xml:space="preserve"> M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Janjić</w:t>
            </w:r>
            <w:proofErr w:type="spellEnd"/>
            <w:r w:rsidRPr="0039744A">
              <w:rPr>
                <w:sz w:val="20"/>
                <w:szCs w:val="20"/>
              </w:rPr>
              <w:t xml:space="preserve"> Z, </w:t>
            </w:r>
            <w:proofErr w:type="spellStart"/>
            <w:r w:rsidRPr="00201C9A">
              <w:rPr>
                <w:bCs/>
                <w:sz w:val="20"/>
                <w:szCs w:val="20"/>
              </w:rPr>
              <w:t>Nikolić</w:t>
            </w:r>
            <w:proofErr w:type="spellEnd"/>
            <w:r w:rsidRPr="00201C9A">
              <w:rPr>
                <w:bCs/>
                <w:sz w:val="20"/>
                <w:szCs w:val="20"/>
              </w:rPr>
              <w:t xml:space="preserve"> J</w:t>
            </w:r>
            <w:r w:rsidRPr="0039744A">
              <w:rPr>
                <w:sz w:val="20"/>
                <w:szCs w:val="20"/>
              </w:rPr>
              <w:t xml:space="preserve">. </w:t>
            </w:r>
            <w:hyperlink r:id="rId12" w:history="1">
              <w:r w:rsidRPr="00384DDA">
                <w:rPr>
                  <w:rStyle w:val="Hyperlink"/>
                  <w:sz w:val="20"/>
                  <w:szCs w:val="20"/>
                </w:rPr>
                <w:t>Estimating disability and quality of life after different degrees of hand and forearm trauma</w:t>
              </w:r>
            </w:hyperlink>
            <w:r w:rsidRPr="0039744A">
              <w:rPr>
                <w:sz w:val="20"/>
                <w:szCs w:val="20"/>
              </w:rPr>
              <w:t xml:space="preserve">. </w:t>
            </w:r>
            <w:proofErr w:type="spellStart"/>
            <w:r w:rsidRPr="0039744A">
              <w:rPr>
                <w:sz w:val="20"/>
                <w:szCs w:val="20"/>
              </w:rPr>
              <w:t>Vojnosanit</w:t>
            </w:r>
            <w:proofErr w:type="spellEnd"/>
            <w:r w:rsidRPr="0039744A">
              <w:rPr>
                <w:sz w:val="20"/>
                <w:szCs w:val="20"/>
              </w:rPr>
              <w:t xml:space="preserve"> Pregl. 2015;72(2):155-9.</w:t>
            </w:r>
          </w:p>
        </w:tc>
        <w:tc>
          <w:tcPr>
            <w:tcW w:w="43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hyperlink r:id="rId13">
              <w:r w:rsidRPr="0039744A">
                <w:rPr>
                  <w:sz w:val="20"/>
                  <w:szCs w:val="20"/>
                </w:rPr>
                <w:t>13</w:t>
              </w:r>
            </w:hyperlink>
            <w:r w:rsidRPr="0039744A">
              <w:rPr>
                <w:sz w:val="20"/>
                <w:szCs w:val="20"/>
              </w:rPr>
              <w:t>4/155</w:t>
            </w:r>
          </w:p>
        </w:tc>
        <w:tc>
          <w:tcPr>
            <w:tcW w:w="373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37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0.355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4C7371" w:rsidRDefault="00897F10" w:rsidP="00F53544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05" w:type="pct"/>
            <w:gridSpan w:val="10"/>
          </w:tcPr>
          <w:p w:rsidR="00897F10" w:rsidRPr="000022A6" w:rsidRDefault="00897F10" w:rsidP="00B25BE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01C9A">
              <w:rPr>
                <w:bCs/>
                <w:sz w:val="20"/>
                <w:szCs w:val="20"/>
              </w:rPr>
              <w:t>Nikolić</w:t>
            </w:r>
            <w:proofErr w:type="spellEnd"/>
            <w:r w:rsidRPr="00201C9A">
              <w:rPr>
                <w:bCs/>
                <w:sz w:val="20"/>
                <w:szCs w:val="20"/>
              </w:rPr>
              <w:t xml:space="preserve"> J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Lončar-Turukalo</w:t>
            </w:r>
            <w:proofErr w:type="spellEnd"/>
            <w:r w:rsidRPr="0039744A">
              <w:rPr>
                <w:sz w:val="20"/>
                <w:szCs w:val="20"/>
              </w:rPr>
              <w:t xml:space="preserve"> T, </w:t>
            </w:r>
            <w:proofErr w:type="spellStart"/>
            <w:r w:rsidRPr="0039744A">
              <w:rPr>
                <w:sz w:val="20"/>
                <w:szCs w:val="20"/>
              </w:rPr>
              <w:t>Sladojević</w:t>
            </w:r>
            <w:proofErr w:type="spellEnd"/>
            <w:r w:rsidRPr="0039744A">
              <w:rPr>
                <w:sz w:val="20"/>
                <w:szCs w:val="20"/>
              </w:rPr>
              <w:t xml:space="preserve"> S, </w:t>
            </w:r>
            <w:proofErr w:type="spellStart"/>
            <w:r w:rsidRPr="00201C9A">
              <w:rPr>
                <w:b/>
                <w:bCs/>
                <w:sz w:val="20"/>
                <w:szCs w:val="20"/>
              </w:rPr>
              <w:t>Marinković</w:t>
            </w:r>
            <w:proofErr w:type="spellEnd"/>
            <w:r w:rsidRPr="00201C9A">
              <w:rPr>
                <w:b/>
                <w:bCs/>
                <w:sz w:val="20"/>
                <w:szCs w:val="20"/>
              </w:rPr>
              <w:t xml:space="preserve"> M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Janjić</w:t>
            </w:r>
            <w:proofErr w:type="spellEnd"/>
            <w:r w:rsidRPr="0039744A">
              <w:rPr>
                <w:sz w:val="20"/>
                <w:szCs w:val="20"/>
              </w:rPr>
              <w:t xml:space="preserve"> Z. </w:t>
            </w:r>
            <w:hyperlink r:id="rId14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Melanoma risk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15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prediction models</w:t>
              </w:r>
              <w:r w:rsidRPr="0039744A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39744A">
              <w:rPr>
                <w:sz w:val="20"/>
                <w:szCs w:val="20"/>
              </w:rPr>
              <w:t>Vojnosanit</w:t>
            </w:r>
            <w:proofErr w:type="spellEnd"/>
            <w:r w:rsidRPr="0039744A">
              <w:rPr>
                <w:sz w:val="20"/>
                <w:szCs w:val="20"/>
              </w:rPr>
              <w:t xml:space="preserve"> Pregl.</w:t>
            </w:r>
            <w:r w:rsidRPr="0039744A">
              <w:rPr>
                <w:spacing w:val="-3"/>
                <w:sz w:val="20"/>
                <w:szCs w:val="20"/>
              </w:rPr>
              <w:t xml:space="preserve"> </w:t>
            </w:r>
            <w:r w:rsidRPr="0039744A">
              <w:rPr>
                <w:sz w:val="20"/>
                <w:szCs w:val="20"/>
              </w:rPr>
              <w:t>2014;71(8):757-66.</w:t>
            </w:r>
          </w:p>
        </w:tc>
        <w:tc>
          <w:tcPr>
            <w:tcW w:w="43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141/154</w:t>
            </w:r>
          </w:p>
        </w:tc>
        <w:tc>
          <w:tcPr>
            <w:tcW w:w="373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37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0.292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314" w:type="pct"/>
            <w:vAlign w:val="center"/>
          </w:tcPr>
          <w:p w:rsidR="00897F10" w:rsidRPr="004C7371" w:rsidRDefault="00897F10" w:rsidP="00201C9A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05" w:type="pct"/>
            <w:gridSpan w:val="10"/>
          </w:tcPr>
          <w:p w:rsidR="00897F10" w:rsidRPr="000022A6" w:rsidRDefault="00897F10" w:rsidP="00B25BE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01C9A">
              <w:rPr>
                <w:bCs/>
                <w:sz w:val="20"/>
                <w:szCs w:val="20"/>
              </w:rPr>
              <w:t>Nikolić</w:t>
            </w:r>
            <w:proofErr w:type="spellEnd"/>
            <w:r w:rsidRPr="00201C9A">
              <w:rPr>
                <w:bCs/>
                <w:sz w:val="20"/>
                <w:szCs w:val="20"/>
              </w:rPr>
              <w:t xml:space="preserve"> J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Janjić</w:t>
            </w:r>
            <w:proofErr w:type="spellEnd"/>
            <w:r w:rsidRPr="0039744A">
              <w:rPr>
                <w:sz w:val="20"/>
                <w:szCs w:val="20"/>
              </w:rPr>
              <w:t xml:space="preserve"> Z, </w:t>
            </w:r>
            <w:proofErr w:type="spellStart"/>
            <w:r w:rsidRPr="00201C9A">
              <w:rPr>
                <w:b/>
                <w:bCs/>
                <w:sz w:val="20"/>
                <w:szCs w:val="20"/>
              </w:rPr>
              <w:t>Marinković</w:t>
            </w:r>
            <w:proofErr w:type="spellEnd"/>
            <w:r w:rsidRPr="00201C9A">
              <w:rPr>
                <w:b/>
                <w:bCs/>
                <w:sz w:val="20"/>
                <w:szCs w:val="20"/>
              </w:rPr>
              <w:t xml:space="preserve"> M</w:t>
            </w:r>
            <w:r w:rsidRPr="0039744A">
              <w:rPr>
                <w:sz w:val="20"/>
                <w:szCs w:val="20"/>
              </w:rPr>
              <w:t xml:space="preserve">, </w:t>
            </w:r>
            <w:proofErr w:type="spellStart"/>
            <w:r w:rsidRPr="0039744A">
              <w:rPr>
                <w:sz w:val="20"/>
                <w:szCs w:val="20"/>
              </w:rPr>
              <w:t>Petrović</w:t>
            </w:r>
            <w:proofErr w:type="spellEnd"/>
            <w:r w:rsidRPr="0039744A">
              <w:rPr>
                <w:sz w:val="20"/>
                <w:szCs w:val="20"/>
              </w:rPr>
              <w:t xml:space="preserve"> J, </w:t>
            </w:r>
            <w:proofErr w:type="spellStart"/>
            <w:r w:rsidRPr="0039744A">
              <w:rPr>
                <w:sz w:val="20"/>
                <w:szCs w:val="20"/>
              </w:rPr>
              <w:t>Božić</w:t>
            </w:r>
            <w:proofErr w:type="spellEnd"/>
            <w:r w:rsidRPr="0039744A">
              <w:rPr>
                <w:sz w:val="20"/>
                <w:szCs w:val="20"/>
              </w:rPr>
              <w:t xml:space="preserve"> T. </w:t>
            </w:r>
            <w:hyperlink r:id="rId16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Psychosocial characteristics</w:t>
              </w:r>
            </w:hyperlink>
            <w:r w:rsidRPr="0039744A">
              <w:rPr>
                <w:color w:val="0000FF"/>
                <w:sz w:val="20"/>
                <w:szCs w:val="20"/>
              </w:rPr>
              <w:t xml:space="preserve"> </w:t>
            </w:r>
            <w:hyperlink r:id="rId17">
              <w:r w:rsidRPr="0039744A">
                <w:rPr>
                  <w:color w:val="0000FF"/>
                  <w:sz w:val="20"/>
                  <w:szCs w:val="20"/>
                  <w:u w:val="single" w:color="0000FF"/>
                </w:rPr>
                <w:t>and motivational factors in woman seeking cosmetic breast augmentation surgery</w:t>
              </w:r>
              <w:r w:rsidRPr="0039744A">
                <w:rPr>
                  <w:sz w:val="20"/>
                  <w:szCs w:val="20"/>
                </w:rPr>
                <w:t>.</w:t>
              </w:r>
            </w:hyperlink>
            <w:r w:rsidRPr="0039744A">
              <w:rPr>
                <w:sz w:val="20"/>
                <w:szCs w:val="20"/>
              </w:rPr>
              <w:t xml:space="preserve"> </w:t>
            </w:r>
            <w:proofErr w:type="spellStart"/>
            <w:r w:rsidRPr="0039744A">
              <w:rPr>
                <w:sz w:val="20"/>
                <w:szCs w:val="20"/>
              </w:rPr>
              <w:t>Vojnosanit</w:t>
            </w:r>
            <w:proofErr w:type="spellEnd"/>
            <w:r w:rsidRPr="0039744A">
              <w:rPr>
                <w:sz w:val="20"/>
                <w:szCs w:val="20"/>
              </w:rPr>
              <w:t xml:space="preserve"> Pregl. 2013;70(10):940-6.</w:t>
            </w:r>
          </w:p>
        </w:tc>
        <w:tc>
          <w:tcPr>
            <w:tcW w:w="43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139/156</w:t>
            </w:r>
          </w:p>
        </w:tc>
        <w:tc>
          <w:tcPr>
            <w:tcW w:w="373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23</w:t>
            </w:r>
          </w:p>
        </w:tc>
        <w:tc>
          <w:tcPr>
            <w:tcW w:w="374" w:type="pct"/>
          </w:tcPr>
          <w:p w:rsidR="00897F10" w:rsidRPr="000022A6" w:rsidRDefault="00897F10" w:rsidP="00201C9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744A">
              <w:rPr>
                <w:sz w:val="20"/>
                <w:szCs w:val="20"/>
              </w:rPr>
              <w:t>0.269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97F10" w:rsidRPr="00A22864" w:rsidRDefault="00897F10" w:rsidP="00201C9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97F10" w:rsidRPr="00A22864" w:rsidTr="004C7371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97F10" w:rsidRPr="00A22864" w:rsidRDefault="00897F10" w:rsidP="00201C9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897F10" w:rsidRPr="00A22864" w:rsidTr="004B76F8">
        <w:trPr>
          <w:trHeight w:val="227"/>
          <w:jc w:val="center"/>
        </w:trPr>
        <w:tc>
          <w:tcPr>
            <w:tcW w:w="2357" w:type="pct"/>
            <w:gridSpan w:val="6"/>
            <w:vAlign w:val="center"/>
          </w:tcPr>
          <w:p w:rsidR="00897F10" w:rsidRPr="00A22864" w:rsidRDefault="00897F10" w:rsidP="00201C9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43" w:type="pct"/>
            <w:gridSpan w:val="8"/>
            <w:vAlign w:val="center"/>
          </w:tcPr>
          <w:p w:rsidR="00897F10" w:rsidRPr="00B25BE0" w:rsidRDefault="00897F10" w:rsidP="00201C9A">
            <w:pPr>
              <w:spacing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897F10" w:rsidRPr="00A22864" w:rsidTr="004B76F8">
        <w:trPr>
          <w:trHeight w:val="227"/>
          <w:jc w:val="center"/>
        </w:trPr>
        <w:tc>
          <w:tcPr>
            <w:tcW w:w="2357" w:type="pct"/>
            <w:gridSpan w:val="6"/>
            <w:vAlign w:val="center"/>
          </w:tcPr>
          <w:p w:rsidR="00897F10" w:rsidRPr="00A22864" w:rsidRDefault="00897F10" w:rsidP="00201C9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43" w:type="pct"/>
            <w:gridSpan w:val="8"/>
            <w:vAlign w:val="center"/>
          </w:tcPr>
          <w:p w:rsidR="00897F10" w:rsidRPr="004C7371" w:rsidRDefault="00897F10" w:rsidP="00201C9A">
            <w:pPr>
              <w:spacing w:after="6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7F10" w:rsidRPr="00A22864" w:rsidTr="00384DDA">
        <w:trPr>
          <w:trHeight w:val="227"/>
          <w:jc w:val="center"/>
        </w:trPr>
        <w:tc>
          <w:tcPr>
            <w:tcW w:w="2357" w:type="pct"/>
            <w:gridSpan w:val="6"/>
            <w:vAlign w:val="center"/>
          </w:tcPr>
          <w:p w:rsidR="00897F10" w:rsidRPr="00A22864" w:rsidRDefault="00897F10" w:rsidP="00201C9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3" w:type="pct"/>
            <w:gridSpan w:val="3"/>
            <w:vAlign w:val="center"/>
          </w:tcPr>
          <w:p w:rsidR="00897F10" w:rsidRPr="00A22864" w:rsidRDefault="00897F10" w:rsidP="00201C9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-</w:t>
            </w:r>
          </w:p>
        </w:tc>
        <w:tc>
          <w:tcPr>
            <w:tcW w:w="1540" w:type="pct"/>
            <w:gridSpan w:val="5"/>
            <w:vAlign w:val="center"/>
          </w:tcPr>
          <w:p w:rsidR="00897F10" w:rsidRPr="00201C9A" w:rsidRDefault="00897F10" w:rsidP="00201C9A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-</w:t>
            </w:r>
          </w:p>
        </w:tc>
      </w:tr>
      <w:tr w:rsidR="00897F10" w:rsidRPr="00A22864" w:rsidTr="004B76F8">
        <w:trPr>
          <w:trHeight w:val="227"/>
          <w:jc w:val="center"/>
        </w:trPr>
        <w:tc>
          <w:tcPr>
            <w:tcW w:w="2357" w:type="pct"/>
            <w:gridSpan w:val="6"/>
            <w:vAlign w:val="center"/>
          </w:tcPr>
          <w:p w:rsidR="00897F10" w:rsidRPr="00A22A3A" w:rsidRDefault="00897F10" w:rsidP="004C7371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643" w:type="pct"/>
            <w:gridSpan w:val="8"/>
          </w:tcPr>
          <w:p w:rsidR="00897F10" w:rsidRPr="00CF68B7" w:rsidRDefault="00897F10" w:rsidP="004C7371">
            <w:pPr>
              <w:widowControl/>
              <w:autoSpaceDE/>
              <w:autoSpaceDN/>
              <w:adjustRightInd/>
              <w:spacing w:after="200" w:line="276" w:lineRule="auto"/>
            </w:pPr>
            <w:r w:rsidRPr="00CF68B7">
              <w:t>2008</w:t>
            </w:r>
            <w:r>
              <w:t xml:space="preserve">.- </w:t>
            </w:r>
            <w:r w:rsidRPr="00CF68B7">
              <w:t>Курс из микрохирургије на пацовима,  у организацији проф. др Mihail Ionac</w:t>
            </w:r>
            <w:r>
              <w:t xml:space="preserve">, </w:t>
            </w:r>
            <w:r w:rsidRPr="00CF68B7">
              <w:t xml:space="preserve">са Универзитета у Темишвару  </w:t>
            </w:r>
          </w:p>
          <w:p w:rsidR="00897F10" w:rsidRPr="00CF68B7" w:rsidRDefault="00897F10" w:rsidP="004C7371">
            <w:pPr>
              <w:widowControl/>
              <w:autoSpaceDE/>
              <w:autoSpaceDN/>
              <w:adjustRightInd/>
              <w:spacing w:after="200" w:line="276" w:lineRule="auto"/>
            </w:pPr>
            <w:r w:rsidRPr="00CF68B7">
              <w:t>2010</w:t>
            </w:r>
            <w:r>
              <w:t>. -</w:t>
            </w:r>
            <w:r w:rsidRPr="00CF68B7">
              <w:t>Једномесечни студијски боравак на Клиници за пластичну</w:t>
            </w:r>
            <w:r>
              <w:t xml:space="preserve"> i</w:t>
            </w:r>
            <w:r w:rsidRPr="00CF68B7">
              <w:t xml:space="preserve"> реконструктивну хирурргију, хирургију шаке и опекотине у болници Богенхаусен у Минхену, под менторством Проф. др Миломира Нинковића.</w:t>
            </w:r>
          </w:p>
          <w:p w:rsidR="00897F10" w:rsidRPr="00CF68B7" w:rsidRDefault="00897F10" w:rsidP="004C73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2011.- једномесечни студијски боравак на Клиници ѕа пластичну хирургију, Војномедицинској академији, Београд. </w:t>
            </w:r>
          </w:p>
          <w:p w:rsidR="00897F10" w:rsidRPr="00A22A3A" w:rsidRDefault="00897F10" w:rsidP="004C7371">
            <w:pPr>
              <w:widowControl/>
              <w:autoSpaceDE/>
              <w:autoSpaceDN/>
              <w:adjustRightInd/>
            </w:pPr>
            <w:r w:rsidRPr="00CF68B7">
              <w:t>2014</w:t>
            </w:r>
            <w:r>
              <w:t>.- Једномесечни сту</w:t>
            </w:r>
            <w:r w:rsidRPr="00CF68B7">
              <w:t xml:space="preserve">дијски боравак у Стокхолму на две Клинике: </w:t>
            </w:r>
            <w:r>
              <w:t>”Akademikliniken” и на Клиници за пластичну хирургију, Каролинска универзитета.</w:t>
            </w:r>
          </w:p>
          <w:p w:rsidR="00897F10" w:rsidRDefault="00897F10" w:rsidP="004C7371">
            <w:pPr>
              <w:widowControl/>
              <w:autoSpaceDE/>
              <w:autoSpaceDN/>
              <w:adjustRightInd/>
              <w:rPr>
                <w:lang w:val="it-IT"/>
              </w:rPr>
            </w:pPr>
          </w:p>
          <w:p w:rsidR="00897F10" w:rsidRPr="00A22A3A" w:rsidRDefault="00897F10" w:rsidP="004C7371">
            <w:pPr>
              <w:widowControl/>
              <w:autoSpaceDE/>
              <w:autoSpaceDN/>
              <w:adjustRightInd/>
            </w:pPr>
            <w:r w:rsidRPr="001362DD">
              <w:rPr>
                <w:lang w:val="it-IT"/>
              </w:rPr>
              <w:t xml:space="preserve">2014.- </w:t>
            </w:r>
            <w:r>
              <w:t xml:space="preserve">учесник </w:t>
            </w:r>
            <w:r w:rsidRPr="004C7371">
              <w:t>на</w:t>
            </w:r>
            <w:r>
              <w:t xml:space="preserve"> </w:t>
            </w:r>
            <w:r w:rsidRPr="004C7371">
              <w:t>” Научном</w:t>
            </w:r>
            <w:r>
              <w:t xml:space="preserve"> симпозијуму о лечењу рана негативним притиском” Београд, Србија</w:t>
            </w:r>
          </w:p>
          <w:p w:rsidR="00897F10" w:rsidRPr="004C7371" w:rsidRDefault="00897F10" w:rsidP="004C7371">
            <w:pPr>
              <w:widowControl/>
              <w:autoSpaceDE/>
              <w:autoSpaceDN/>
              <w:adjustRightInd/>
              <w:rPr>
                <w:lang w:val="it-IT"/>
              </w:rPr>
            </w:pPr>
          </w:p>
          <w:p w:rsidR="00897F10" w:rsidRPr="00A22A3A" w:rsidRDefault="00897F10" w:rsidP="004C7371">
            <w:pPr>
              <w:widowControl/>
              <w:autoSpaceDE/>
              <w:autoSpaceDN/>
              <w:adjustRightInd/>
            </w:pPr>
            <w:r w:rsidRPr="001362DD">
              <w:rPr>
                <w:lang w:val="it-IT"/>
              </w:rPr>
              <w:t xml:space="preserve">2015- </w:t>
            </w:r>
            <w:r>
              <w:t xml:space="preserve">учесник на четвртом интернационалном </w:t>
            </w:r>
            <w:r w:rsidRPr="001362DD">
              <w:rPr>
                <w:lang w:val="it-IT"/>
              </w:rPr>
              <w:t>“Breast surgery workshop”,</w:t>
            </w:r>
            <w:r>
              <w:t xml:space="preserve"> Рим, Италија</w:t>
            </w:r>
          </w:p>
          <w:p w:rsidR="00897F10" w:rsidRPr="001362DD" w:rsidRDefault="00897F10" w:rsidP="004C7371">
            <w:pPr>
              <w:widowControl/>
              <w:autoSpaceDE/>
              <w:autoSpaceDN/>
              <w:adjustRightInd/>
              <w:rPr>
                <w:lang w:val="it-IT"/>
              </w:rPr>
            </w:pPr>
          </w:p>
          <w:p w:rsidR="00897F10" w:rsidRPr="004C7371" w:rsidRDefault="00897F10" w:rsidP="004C7371">
            <w:pPr>
              <w:spacing w:after="60"/>
              <w:rPr>
                <w:b/>
              </w:rPr>
            </w:pPr>
            <w:r>
              <w:t>2019</w:t>
            </w:r>
            <w:r w:rsidRPr="001362DD">
              <w:t xml:space="preserve">- </w:t>
            </w:r>
            <w:r>
              <w:t xml:space="preserve">учесник на </w:t>
            </w:r>
            <w:r>
              <w:rPr>
                <w:lang w:val="en-GB"/>
              </w:rPr>
              <w:t>53. “Annual Baker Gordon Educational Symposium”, Ma</w:t>
            </w:r>
            <w:r>
              <w:t>јами, САД.</w:t>
            </w:r>
          </w:p>
        </w:tc>
      </w:tr>
      <w:tr w:rsidR="00897F10" w:rsidRPr="00A22864" w:rsidTr="004B76F8">
        <w:trPr>
          <w:trHeight w:val="227"/>
          <w:jc w:val="center"/>
        </w:trPr>
        <w:tc>
          <w:tcPr>
            <w:tcW w:w="2357" w:type="pct"/>
            <w:gridSpan w:val="6"/>
            <w:vAlign w:val="center"/>
          </w:tcPr>
          <w:p w:rsidR="00897F10" w:rsidRPr="00A22864" w:rsidRDefault="00897F10" w:rsidP="004C737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43" w:type="pct"/>
            <w:gridSpan w:val="8"/>
            <w:vAlign w:val="center"/>
          </w:tcPr>
          <w:p w:rsidR="00897F10" w:rsidRDefault="00897F10" w:rsidP="004C7371">
            <w:r>
              <w:t xml:space="preserve">Чланства у удружењима: </w:t>
            </w:r>
          </w:p>
          <w:p w:rsidR="00897F10" w:rsidRDefault="00897F10" w:rsidP="004C7371">
            <w:pPr>
              <w:pStyle w:val="ListParagraph"/>
              <w:numPr>
                <w:ilvl w:val="0"/>
                <w:numId w:val="3"/>
              </w:numPr>
            </w:pPr>
            <w:r>
              <w:t xml:space="preserve">Српског лекарског друштва – СЛД, </w:t>
            </w:r>
          </w:p>
          <w:p w:rsidR="00897F10" w:rsidRDefault="00897F10" w:rsidP="004C7371">
            <w:pPr>
              <w:pStyle w:val="ListParagraph"/>
              <w:numPr>
                <w:ilvl w:val="0"/>
                <w:numId w:val="3"/>
              </w:numPr>
            </w:pPr>
            <w:r>
              <w:t>Српског удружења за пластичну и реконструктивну хирургију – СРБПРАС</w:t>
            </w:r>
          </w:p>
          <w:p w:rsidR="00897F10" w:rsidRDefault="00897F10" w:rsidP="004C7371">
            <w:pPr>
              <w:pStyle w:val="ListParagraph"/>
              <w:numPr>
                <w:ilvl w:val="0"/>
                <w:numId w:val="3"/>
              </w:numPr>
            </w:pPr>
            <w:r>
              <w:t>Српско сенолошко удружење</w:t>
            </w:r>
          </w:p>
          <w:p w:rsidR="00897F10" w:rsidRPr="004C7371" w:rsidRDefault="00897F10" w:rsidP="004C7371">
            <w:pPr>
              <w:pStyle w:val="ListParagraph"/>
              <w:numPr>
                <w:ilvl w:val="0"/>
                <w:numId w:val="3"/>
              </w:numPr>
              <w:spacing w:after="60"/>
              <w:rPr>
                <w:bCs/>
                <w:lang w:val="en-GB"/>
              </w:rPr>
            </w:pPr>
            <w:r w:rsidRPr="004C7371">
              <w:rPr>
                <w:bCs/>
              </w:rPr>
              <w:t>Интернацион</w:t>
            </w:r>
            <w:r w:rsidRPr="004C7371">
              <w:rPr>
                <w:bCs/>
                <w:lang w:val="en-GB"/>
              </w:rPr>
              <w:t>a</w:t>
            </w:r>
            <w:r w:rsidRPr="004C7371">
              <w:rPr>
                <w:bCs/>
              </w:rPr>
              <w:t>лно удружење пластичних</w:t>
            </w:r>
            <w:r w:rsidRPr="004C7371">
              <w:rPr>
                <w:bCs/>
                <w:lang w:val="en-GB"/>
              </w:rPr>
              <w:t xml:space="preserve"> </w:t>
            </w:r>
            <w:r w:rsidRPr="004C7371">
              <w:rPr>
                <w:bCs/>
              </w:rPr>
              <w:t>и естетских хирурга (</w:t>
            </w:r>
            <w:r w:rsidRPr="004C7371">
              <w:rPr>
                <w:bCs/>
                <w:lang w:val="en-GB"/>
              </w:rPr>
              <w:t>International Society of Aesthetic Plastic Surgeons/ ISAPS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C62"/>
    <w:multiLevelType w:val="hybridMultilevel"/>
    <w:tmpl w:val="9C1C4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3C23"/>
    <w:multiLevelType w:val="hybridMultilevel"/>
    <w:tmpl w:val="78A4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72F"/>
    <w:multiLevelType w:val="hybridMultilevel"/>
    <w:tmpl w:val="84BE0CEC"/>
    <w:lvl w:ilvl="0" w:tplc="F8FEB36A">
      <w:start w:val="16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4424"/>
    <w:rsid w:val="00151456"/>
    <w:rsid w:val="00201C9A"/>
    <w:rsid w:val="00252E45"/>
    <w:rsid w:val="00384DDA"/>
    <w:rsid w:val="00494424"/>
    <w:rsid w:val="004B76F8"/>
    <w:rsid w:val="004C7371"/>
    <w:rsid w:val="00505EBB"/>
    <w:rsid w:val="00897F10"/>
    <w:rsid w:val="008A3D99"/>
    <w:rsid w:val="00975A90"/>
    <w:rsid w:val="00A22A3A"/>
    <w:rsid w:val="00A56E1D"/>
    <w:rsid w:val="00AB00FC"/>
    <w:rsid w:val="00B25BE0"/>
    <w:rsid w:val="00BE62C9"/>
    <w:rsid w:val="00DF5429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1C9A"/>
    <w:pPr>
      <w:ind w:left="720"/>
      <w:contextualSpacing/>
    </w:pPr>
  </w:style>
  <w:style w:type="character" w:styleId="Hyperlink">
    <w:name w:val="Hyperlink"/>
    <w:basedOn w:val="DefaultParagraphFont"/>
    <w:unhideWhenUsed/>
    <w:rsid w:val="00201C9A"/>
    <w:rPr>
      <w:color w:val="0000FF"/>
      <w:u w:val="single"/>
    </w:rPr>
  </w:style>
  <w:style w:type="character" w:styleId="Strong">
    <w:name w:val="Strong"/>
    <w:uiPriority w:val="22"/>
    <w:qFormat/>
    <w:rsid w:val="00201C9A"/>
    <w:rPr>
      <w:b/>
      <w:bCs/>
    </w:rPr>
  </w:style>
  <w:style w:type="character" w:customStyle="1" w:styleId="apple-converted-space">
    <w:name w:val="apple-converted-space"/>
    <w:basedOn w:val="DefaultParagraphFont"/>
    <w:rsid w:val="00201C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C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5/0042-84501400052K.pdf" TargetMode="External"/><Relationship Id="rId13" Type="http://schemas.openxmlformats.org/officeDocument/2006/relationships/hyperlink" Target="http://www.doiserbia.nb.rs/img/doi/0042-8450/2015/0042-84501502155M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5/0042-84501400052K.pdf" TargetMode="External"/><Relationship Id="rId12" Type="http://schemas.openxmlformats.org/officeDocument/2006/relationships/hyperlink" Target="http://www.doiserbia.nb.rs/img/doi/0042-8450/2015/0042-84501502155M.pdf" TargetMode="External"/><Relationship Id="rId17" Type="http://schemas.openxmlformats.org/officeDocument/2006/relationships/hyperlink" Target="http://www.doiserbia.nb.rs/img/doi/0042-8450/2013/0042-84501310940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10940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/0042-84501700139J.pdf" TargetMode="External"/><Relationship Id="rId11" Type="http://schemas.openxmlformats.org/officeDocument/2006/relationships/hyperlink" Target="http://www.doiserbia.nb.rs/img/doi/0042-8450/2015/0042-84501400081K.pdf" TargetMode="External"/><Relationship Id="rId5" Type="http://schemas.openxmlformats.org/officeDocument/2006/relationships/hyperlink" Target="https://kobson.nb.rs/nauka_u_srbiji.132.html?autor=Marinkovic%20Marija&amp;samoar=" TargetMode="External"/><Relationship Id="rId15" Type="http://schemas.openxmlformats.org/officeDocument/2006/relationships/hyperlink" Target="http://www.doiserbia.nb.rs/img/doi/0042-8450/2014/0042-84501400045N.pdf" TargetMode="External"/><Relationship Id="rId10" Type="http://schemas.openxmlformats.org/officeDocument/2006/relationships/hyperlink" Target="http://www.doiserbia.nb.rs/img/doi/0042-8450/2015/0042-84501400081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5/0042-84501400052K.pdf" TargetMode="External"/><Relationship Id="rId14" Type="http://schemas.openxmlformats.org/officeDocument/2006/relationships/hyperlink" Target="http://www.doiserbia.nb.rs/img/doi/0042-8450/2014/0042-84501400045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11</cp:revision>
  <dcterms:created xsi:type="dcterms:W3CDTF">2022-09-09T07:30:00Z</dcterms:created>
  <dcterms:modified xsi:type="dcterms:W3CDTF">2023-09-29T11:17:00Z</dcterms:modified>
</cp:coreProperties>
</file>