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3AE" w:rsidRPr="00DE02EC" w:rsidRDefault="001543AE" w:rsidP="000925E4">
      <w:pPr>
        <w:rPr>
          <w:lang w:val="sr-Cyrl-CS"/>
        </w:rPr>
      </w:pPr>
      <w:r w:rsidRPr="00DE02EC">
        <w:rPr>
          <w:b/>
          <w:lang w:val="sr-Cyrl-CS"/>
        </w:rPr>
        <w:t>Табела. 9.</w:t>
      </w:r>
      <w:r>
        <w:rPr>
          <w:b/>
        </w:rPr>
        <w:t>8</w:t>
      </w:r>
      <w:r w:rsidRPr="00DE02EC">
        <w:rPr>
          <w:lang w:val="sr-Cyrl-CS"/>
        </w:rPr>
        <w:t xml:space="preserve"> </w:t>
      </w:r>
      <w:r w:rsidRPr="0044005F">
        <w:rPr>
          <w:lang w:val="sr-Cyrl-CS"/>
        </w:rPr>
        <w:t>Компетентност ментора</w:t>
      </w:r>
    </w:p>
    <w:tbl>
      <w:tblPr>
        <w:tblW w:w="57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5"/>
        <w:gridCol w:w="1747"/>
        <w:gridCol w:w="1426"/>
        <w:gridCol w:w="1444"/>
        <w:gridCol w:w="1077"/>
        <w:gridCol w:w="115"/>
        <w:gridCol w:w="1322"/>
        <w:gridCol w:w="363"/>
        <w:gridCol w:w="595"/>
        <w:gridCol w:w="710"/>
        <w:gridCol w:w="223"/>
        <w:gridCol w:w="628"/>
        <w:gridCol w:w="851"/>
      </w:tblGrid>
      <w:tr w:rsidR="001543AE" w:rsidRPr="006E7435" w:rsidTr="002F24D3">
        <w:trPr>
          <w:trHeight w:val="227"/>
          <w:jc w:val="center"/>
        </w:trPr>
        <w:tc>
          <w:tcPr>
            <w:tcW w:w="1686" w:type="pct"/>
            <w:gridSpan w:val="3"/>
            <w:vAlign w:val="center"/>
          </w:tcPr>
          <w:p w:rsidR="001543AE" w:rsidRPr="006E7435" w:rsidRDefault="001543AE" w:rsidP="00B72955">
            <w:pPr>
              <w:spacing w:after="60"/>
              <w:rPr>
                <w:lang w:val="sr-Cyrl-CS"/>
              </w:rPr>
            </w:pPr>
            <w:r w:rsidRPr="006E7435">
              <w:rPr>
                <w:b/>
                <w:lang w:val="sr-Cyrl-CS"/>
              </w:rPr>
              <w:t>Име и презиме</w:t>
            </w:r>
          </w:p>
        </w:tc>
        <w:tc>
          <w:tcPr>
            <w:tcW w:w="3314" w:type="pct"/>
            <w:gridSpan w:val="10"/>
            <w:vAlign w:val="center"/>
          </w:tcPr>
          <w:p w:rsidR="001543AE" w:rsidRPr="00EC1DD1" w:rsidRDefault="006846B5" w:rsidP="003F177B">
            <w:pPr>
              <w:spacing w:after="60"/>
            </w:pPr>
            <w:hyperlink r:id="rId5" w:history="1">
              <w:r w:rsidR="00EC1DD1" w:rsidRPr="003A7142">
                <w:rPr>
                  <w:rStyle w:val="Hyperlink"/>
                </w:rPr>
                <w:t>Немања Тодоровић</w:t>
              </w:r>
            </w:hyperlink>
          </w:p>
        </w:tc>
      </w:tr>
      <w:tr w:rsidR="006E7435" w:rsidRPr="006E7435" w:rsidTr="002F24D3">
        <w:trPr>
          <w:trHeight w:val="227"/>
          <w:jc w:val="center"/>
        </w:trPr>
        <w:tc>
          <w:tcPr>
            <w:tcW w:w="1686" w:type="pct"/>
            <w:gridSpan w:val="3"/>
            <w:vAlign w:val="center"/>
          </w:tcPr>
          <w:p w:rsidR="006E7435" w:rsidRPr="006E7435" w:rsidRDefault="006E7435" w:rsidP="006E7435">
            <w:pPr>
              <w:spacing w:after="60"/>
              <w:rPr>
                <w:lang w:val="sr-Cyrl-CS"/>
              </w:rPr>
            </w:pPr>
            <w:r w:rsidRPr="006E7435">
              <w:rPr>
                <w:b/>
                <w:lang w:val="sr-Cyrl-CS"/>
              </w:rPr>
              <w:t>Звање</w:t>
            </w:r>
          </w:p>
        </w:tc>
        <w:tc>
          <w:tcPr>
            <w:tcW w:w="3314" w:type="pct"/>
            <w:gridSpan w:val="10"/>
          </w:tcPr>
          <w:p w:rsidR="006E7435" w:rsidRPr="006E7435" w:rsidRDefault="00EC1DD1" w:rsidP="00785176">
            <w:pPr>
              <w:rPr>
                <w:lang w:val="sr-Cyrl-CS"/>
              </w:rPr>
            </w:pPr>
            <w:r>
              <w:rPr>
                <w:lang w:val="sr-Cyrl-CS"/>
              </w:rPr>
              <w:t>Доцент</w:t>
            </w:r>
          </w:p>
        </w:tc>
      </w:tr>
      <w:tr w:rsidR="006E7435" w:rsidRPr="006E7435" w:rsidTr="002F24D3">
        <w:trPr>
          <w:trHeight w:val="227"/>
          <w:jc w:val="center"/>
        </w:trPr>
        <w:tc>
          <w:tcPr>
            <w:tcW w:w="1686" w:type="pct"/>
            <w:gridSpan w:val="3"/>
            <w:vAlign w:val="center"/>
          </w:tcPr>
          <w:p w:rsidR="006E7435" w:rsidRPr="006E7435" w:rsidRDefault="006E7435" w:rsidP="006E7435">
            <w:pPr>
              <w:spacing w:after="60"/>
              <w:rPr>
                <w:lang w:val="sr-Cyrl-CS"/>
              </w:rPr>
            </w:pPr>
            <w:r w:rsidRPr="006E7435">
              <w:rPr>
                <w:b/>
                <w:lang w:val="sr-Cyrl-CS"/>
              </w:rPr>
              <w:t>Ужа научна, уметничка односно стручна  област</w:t>
            </w:r>
          </w:p>
        </w:tc>
        <w:tc>
          <w:tcPr>
            <w:tcW w:w="3314" w:type="pct"/>
            <w:gridSpan w:val="10"/>
            <w:vAlign w:val="center"/>
          </w:tcPr>
          <w:p w:rsidR="006E7435" w:rsidRPr="006E7435" w:rsidRDefault="00EC1DD1" w:rsidP="006E7435">
            <w:pPr>
              <w:spacing w:after="60"/>
              <w:rPr>
                <w:lang w:val="sr-Cyrl-CS"/>
              </w:rPr>
            </w:pPr>
            <w:r>
              <w:rPr>
                <w:lang w:val="sr-Cyrl-CS"/>
              </w:rPr>
              <w:t>Фармацеутска технологија са индустријском фармацијом и козметологијом</w:t>
            </w:r>
          </w:p>
        </w:tc>
      </w:tr>
      <w:tr w:rsidR="006E7435" w:rsidRPr="006E7435" w:rsidTr="000F7303">
        <w:trPr>
          <w:trHeight w:val="227"/>
          <w:jc w:val="center"/>
        </w:trPr>
        <w:tc>
          <w:tcPr>
            <w:tcW w:w="1041" w:type="pct"/>
            <w:gridSpan w:val="2"/>
            <w:vAlign w:val="center"/>
          </w:tcPr>
          <w:p w:rsidR="006E7435" w:rsidRPr="006E7435" w:rsidRDefault="006E7435" w:rsidP="006E7435">
            <w:pPr>
              <w:spacing w:after="60"/>
              <w:rPr>
                <w:lang w:val="sr-Cyrl-CS"/>
              </w:rPr>
            </w:pPr>
            <w:r w:rsidRPr="006E7435">
              <w:rPr>
                <w:b/>
                <w:lang w:val="sr-Cyrl-CS"/>
              </w:rPr>
              <w:t>Академска каријера</w:t>
            </w:r>
          </w:p>
        </w:tc>
        <w:tc>
          <w:tcPr>
            <w:tcW w:w="645" w:type="pct"/>
            <w:vAlign w:val="center"/>
          </w:tcPr>
          <w:p w:rsidR="006E7435" w:rsidRPr="006E7435" w:rsidRDefault="006E7435" w:rsidP="006E7435">
            <w:pPr>
              <w:spacing w:after="60"/>
              <w:rPr>
                <w:lang w:val="sr-Cyrl-CS"/>
              </w:rPr>
            </w:pPr>
            <w:r w:rsidRPr="006E7435">
              <w:rPr>
                <w:lang w:val="sr-Cyrl-CS"/>
              </w:rPr>
              <w:t xml:space="preserve">Година </w:t>
            </w:r>
          </w:p>
        </w:tc>
        <w:tc>
          <w:tcPr>
            <w:tcW w:w="1790" w:type="pct"/>
            <w:gridSpan w:val="4"/>
            <w:vAlign w:val="center"/>
          </w:tcPr>
          <w:p w:rsidR="006E7435" w:rsidRPr="006E7435" w:rsidRDefault="006E7435" w:rsidP="006E7435">
            <w:pPr>
              <w:spacing w:after="60"/>
              <w:rPr>
                <w:lang w:val="sr-Cyrl-CS"/>
              </w:rPr>
            </w:pPr>
            <w:r w:rsidRPr="006E7435">
              <w:rPr>
                <w:lang w:val="sr-Cyrl-CS"/>
              </w:rPr>
              <w:t xml:space="preserve">Институција </w:t>
            </w:r>
          </w:p>
        </w:tc>
        <w:tc>
          <w:tcPr>
            <w:tcW w:w="1524" w:type="pct"/>
            <w:gridSpan w:val="6"/>
            <w:vAlign w:val="center"/>
          </w:tcPr>
          <w:p w:rsidR="006E7435" w:rsidRPr="006E7435" w:rsidRDefault="006E7435" w:rsidP="006E7435">
            <w:pPr>
              <w:spacing w:after="60"/>
              <w:rPr>
                <w:lang w:val="sr-Cyrl-CS"/>
              </w:rPr>
            </w:pPr>
            <w:r w:rsidRPr="006E7435">
              <w:rPr>
                <w:lang w:val="sr-Cyrl-CS"/>
              </w:rPr>
              <w:t xml:space="preserve">Ужа научна, уметничка односно стручна област </w:t>
            </w:r>
          </w:p>
        </w:tc>
      </w:tr>
      <w:tr w:rsidR="006E7435" w:rsidRPr="006E7435" w:rsidTr="000F7303">
        <w:trPr>
          <w:trHeight w:val="227"/>
          <w:jc w:val="center"/>
        </w:trPr>
        <w:tc>
          <w:tcPr>
            <w:tcW w:w="1041" w:type="pct"/>
            <w:gridSpan w:val="2"/>
          </w:tcPr>
          <w:p w:rsidR="006E7435" w:rsidRPr="006E7435" w:rsidRDefault="006E7435" w:rsidP="006E7435">
            <w:pPr>
              <w:rPr>
                <w:lang w:val="sr-Cyrl-CS"/>
              </w:rPr>
            </w:pPr>
            <w:r w:rsidRPr="006E7435">
              <w:rPr>
                <w:lang w:val="sr-Cyrl-CS"/>
              </w:rPr>
              <w:t>Избор у звање</w:t>
            </w:r>
          </w:p>
        </w:tc>
        <w:tc>
          <w:tcPr>
            <w:tcW w:w="645" w:type="pct"/>
          </w:tcPr>
          <w:p w:rsidR="006E7435" w:rsidRPr="006E7435" w:rsidRDefault="006E7435" w:rsidP="00785176">
            <w:pPr>
              <w:rPr>
                <w:highlight w:val="yellow"/>
                <w:lang w:val="sr-Cyrl-CS"/>
              </w:rPr>
            </w:pPr>
            <w:r w:rsidRPr="006E7435">
              <w:rPr>
                <w:lang w:val="sr-Cyrl-CS"/>
              </w:rPr>
              <w:t>20</w:t>
            </w:r>
            <w:r w:rsidR="00785176">
              <w:rPr>
                <w:lang w:val="sr-Cyrl-CS"/>
              </w:rPr>
              <w:t>2</w:t>
            </w:r>
            <w:r w:rsidR="00EC1DD1">
              <w:rPr>
                <w:lang w:val="sr-Cyrl-CS"/>
              </w:rPr>
              <w:t>5</w:t>
            </w:r>
            <w:r w:rsidRPr="006E7435">
              <w:rPr>
                <w:lang w:val="sr-Cyrl-CS"/>
              </w:rPr>
              <w:t>.</w:t>
            </w:r>
          </w:p>
        </w:tc>
        <w:tc>
          <w:tcPr>
            <w:tcW w:w="1790" w:type="pct"/>
            <w:gridSpan w:val="4"/>
          </w:tcPr>
          <w:p w:rsidR="006E7435" w:rsidRPr="006E7435" w:rsidRDefault="006E7435" w:rsidP="006E7435">
            <w:pPr>
              <w:rPr>
                <w:highlight w:val="yellow"/>
                <w:lang w:val="sr-Cyrl-CS"/>
              </w:rPr>
            </w:pPr>
            <w:r w:rsidRPr="006E7435">
              <w:rPr>
                <w:lang w:val="sr-Cyrl-CS"/>
              </w:rPr>
              <w:t>Медицински факултет Нови Сад</w:t>
            </w:r>
          </w:p>
        </w:tc>
        <w:tc>
          <w:tcPr>
            <w:tcW w:w="1524" w:type="pct"/>
            <w:gridSpan w:val="6"/>
          </w:tcPr>
          <w:p w:rsidR="006E7435" w:rsidRPr="006E7435" w:rsidRDefault="00EC1DD1" w:rsidP="006E7435">
            <w:pPr>
              <w:rPr>
                <w:highlight w:val="yellow"/>
                <w:lang w:val="sr-Cyrl-CS"/>
              </w:rPr>
            </w:pPr>
            <w:r>
              <w:rPr>
                <w:lang w:val="sr-Cyrl-CS"/>
              </w:rPr>
              <w:t>Фармацеутска технологија са индустријском фармацијом и козметологијом</w:t>
            </w:r>
          </w:p>
        </w:tc>
      </w:tr>
      <w:tr w:rsidR="006E7435" w:rsidRPr="006E7435" w:rsidTr="000F7303">
        <w:trPr>
          <w:trHeight w:val="227"/>
          <w:jc w:val="center"/>
        </w:trPr>
        <w:tc>
          <w:tcPr>
            <w:tcW w:w="1041" w:type="pct"/>
            <w:gridSpan w:val="2"/>
          </w:tcPr>
          <w:p w:rsidR="006E7435" w:rsidRPr="006E7435" w:rsidRDefault="006E7435" w:rsidP="006E7435">
            <w:pPr>
              <w:rPr>
                <w:lang w:val="sr-Cyrl-CS"/>
              </w:rPr>
            </w:pPr>
            <w:r w:rsidRPr="006E7435">
              <w:rPr>
                <w:lang w:val="sr-Cyrl-CS"/>
              </w:rPr>
              <w:t>Докторат</w:t>
            </w:r>
          </w:p>
        </w:tc>
        <w:tc>
          <w:tcPr>
            <w:tcW w:w="645" w:type="pct"/>
          </w:tcPr>
          <w:p w:rsidR="006E7435" w:rsidRPr="006E7435" w:rsidRDefault="006E7435" w:rsidP="006E7435">
            <w:pPr>
              <w:rPr>
                <w:highlight w:val="yellow"/>
                <w:lang w:val="sr-Cyrl-CS"/>
              </w:rPr>
            </w:pPr>
            <w:r w:rsidRPr="006E7435">
              <w:rPr>
                <w:lang w:val="sr-Cyrl-CS"/>
              </w:rPr>
              <w:t>20</w:t>
            </w:r>
            <w:r w:rsidR="00EC1DD1">
              <w:rPr>
                <w:lang w:val="sr-Cyrl-CS"/>
              </w:rPr>
              <w:t>24.</w:t>
            </w:r>
          </w:p>
        </w:tc>
        <w:tc>
          <w:tcPr>
            <w:tcW w:w="1790" w:type="pct"/>
            <w:gridSpan w:val="4"/>
          </w:tcPr>
          <w:p w:rsidR="006E7435" w:rsidRPr="006E7435" w:rsidRDefault="006E7435" w:rsidP="006E7435">
            <w:pPr>
              <w:rPr>
                <w:highlight w:val="yellow"/>
                <w:lang w:val="sr-Cyrl-CS"/>
              </w:rPr>
            </w:pPr>
            <w:r w:rsidRPr="006E7435">
              <w:rPr>
                <w:lang w:val="sr-Cyrl-CS"/>
              </w:rPr>
              <w:t>Медицински факултет Нови Сад</w:t>
            </w:r>
          </w:p>
        </w:tc>
        <w:tc>
          <w:tcPr>
            <w:tcW w:w="1524" w:type="pct"/>
            <w:gridSpan w:val="6"/>
          </w:tcPr>
          <w:p w:rsidR="006E7435" w:rsidRPr="006E7435" w:rsidRDefault="00EC1DD1" w:rsidP="006E7435">
            <w:pPr>
              <w:rPr>
                <w:highlight w:val="yellow"/>
                <w:lang w:val="sr-Cyrl-CS"/>
              </w:rPr>
            </w:pPr>
            <w:r>
              <w:rPr>
                <w:lang w:val="sr-Cyrl-CS"/>
              </w:rPr>
              <w:t>Фармацеутска технологија са индустријском фармацијом и козметологијом и Биофармација и фармакокинетика</w:t>
            </w:r>
          </w:p>
        </w:tc>
      </w:tr>
      <w:tr w:rsidR="006E7435" w:rsidRPr="006E7435" w:rsidTr="000F7303">
        <w:trPr>
          <w:trHeight w:val="227"/>
          <w:jc w:val="center"/>
        </w:trPr>
        <w:tc>
          <w:tcPr>
            <w:tcW w:w="1041" w:type="pct"/>
            <w:gridSpan w:val="2"/>
          </w:tcPr>
          <w:p w:rsidR="006E7435" w:rsidRPr="006E7435" w:rsidRDefault="006E7435" w:rsidP="006E7435">
            <w:pPr>
              <w:rPr>
                <w:lang w:val="sr-Cyrl-CS"/>
              </w:rPr>
            </w:pPr>
            <w:r w:rsidRPr="006E7435">
              <w:rPr>
                <w:lang w:val="sr-Cyrl-CS"/>
              </w:rPr>
              <w:t>Диплома</w:t>
            </w:r>
          </w:p>
        </w:tc>
        <w:tc>
          <w:tcPr>
            <w:tcW w:w="645" w:type="pct"/>
          </w:tcPr>
          <w:p w:rsidR="006E7435" w:rsidRPr="006E7435" w:rsidRDefault="006E7435" w:rsidP="006E7435">
            <w:pPr>
              <w:rPr>
                <w:highlight w:val="yellow"/>
                <w:lang w:val="sr-Cyrl-CS"/>
              </w:rPr>
            </w:pPr>
            <w:r w:rsidRPr="006E7435">
              <w:rPr>
                <w:lang w:val="sr-Cyrl-CS"/>
              </w:rPr>
              <w:t>20</w:t>
            </w:r>
            <w:r w:rsidR="00EC1DD1">
              <w:rPr>
                <w:lang w:val="sr-Cyrl-CS"/>
              </w:rPr>
              <w:t>17.</w:t>
            </w:r>
          </w:p>
        </w:tc>
        <w:tc>
          <w:tcPr>
            <w:tcW w:w="1790" w:type="pct"/>
            <w:gridSpan w:val="4"/>
          </w:tcPr>
          <w:p w:rsidR="006E7435" w:rsidRPr="006E7435" w:rsidRDefault="006E7435" w:rsidP="006E7435">
            <w:pPr>
              <w:rPr>
                <w:highlight w:val="yellow"/>
                <w:lang w:val="sr-Cyrl-CS"/>
              </w:rPr>
            </w:pPr>
            <w:r w:rsidRPr="006E7435">
              <w:rPr>
                <w:lang w:val="sr-Cyrl-CS"/>
              </w:rPr>
              <w:t>Медицински факултет Нови Сад</w:t>
            </w:r>
          </w:p>
        </w:tc>
        <w:tc>
          <w:tcPr>
            <w:tcW w:w="1524" w:type="pct"/>
            <w:gridSpan w:val="6"/>
          </w:tcPr>
          <w:p w:rsidR="006E7435" w:rsidRPr="006E7435" w:rsidRDefault="00EC1DD1" w:rsidP="006E7435">
            <w:pPr>
              <w:rPr>
                <w:highlight w:val="yellow"/>
                <w:lang w:val="sr-Cyrl-CS"/>
              </w:rPr>
            </w:pPr>
            <w:r>
              <w:rPr>
                <w:lang w:val="sr-Cyrl-CS"/>
              </w:rPr>
              <w:t>Фармација</w:t>
            </w:r>
          </w:p>
        </w:tc>
      </w:tr>
      <w:tr w:rsidR="006E7435" w:rsidRPr="006E7435" w:rsidTr="00A85D19">
        <w:trPr>
          <w:trHeight w:val="227"/>
          <w:jc w:val="center"/>
        </w:trPr>
        <w:tc>
          <w:tcPr>
            <w:tcW w:w="5000" w:type="pct"/>
            <w:gridSpan w:val="13"/>
            <w:vAlign w:val="center"/>
          </w:tcPr>
          <w:p w:rsidR="006E7435" w:rsidRPr="006E7435" w:rsidRDefault="006E7435" w:rsidP="006E7435">
            <w:pPr>
              <w:spacing w:after="60"/>
              <w:rPr>
                <w:lang w:val="sr-Cyrl-CS"/>
              </w:rPr>
            </w:pPr>
            <w:r w:rsidRPr="006E7435">
              <w:rPr>
                <w:b/>
                <w:lang w:val="sr-Cyrl-CS"/>
              </w:rPr>
              <w:t>Списак дисертација</w:t>
            </w:r>
            <w:r w:rsidRPr="006E7435">
              <w:rPr>
                <w:b/>
              </w:rPr>
              <w:t xml:space="preserve">-докторских уметничких пројеката </w:t>
            </w:r>
            <w:r w:rsidRPr="006E7435">
              <w:rPr>
                <w:b/>
                <w:lang w:val="sr-Cyrl-CS"/>
              </w:rPr>
              <w:t>а у којима је наставнк ментор или је био ментор у претходних 10 година</w:t>
            </w:r>
          </w:p>
        </w:tc>
      </w:tr>
      <w:tr w:rsidR="006E7435" w:rsidRPr="006E7435" w:rsidTr="00FD3DB2">
        <w:trPr>
          <w:trHeight w:val="227"/>
          <w:jc w:val="center"/>
        </w:trPr>
        <w:tc>
          <w:tcPr>
            <w:tcW w:w="251" w:type="pct"/>
            <w:vAlign w:val="center"/>
          </w:tcPr>
          <w:p w:rsidR="006E7435" w:rsidRPr="006E7435" w:rsidRDefault="006E7435" w:rsidP="006E7435">
            <w:pPr>
              <w:spacing w:after="60"/>
              <w:rPr>
                <w:lang w:val="sr-Cyrl-CS"/>
              </w:rPr>
            </w:pPr>
            <w:r w:rsidRPr="006E7435">
              <w:rPr>
                <w:lang w:val="sr-Cyrl-CS"/>
              </w:rPr>
              <w:t>Р.Б.</w:t>
            </w:r>
          </w:p>
        </w:tc>
        <w:tc>
          <w:tcPr>
            <w:tcW w:w="2575" w:type="pct"/>
            <w:gridSpan w:val="4"/>
            <w:vAlign w:val="center"/>
          </w:tcPr>
          <w:p w:rsidR="006E7435" w:rsidRPr="006E7435" w:rsidRDefault="006E7435" w:rsidP="006E7435">
            <w:pPr>
              <w:spacing w:after="60"/>
            </w:pPr>
            <w:r w:rsidRPr="006E7435">
              <w:rPr>
                <w:lang w:val="sr-Cyrl-CS"/>
              </w:rPr>
              <w:t>Наслов дисертације</w:t>
            </w:r>
            <w:r w:rsidRPr="006E7435">
              <w:t xml:space="preserve">- докторског уметничког пројекта </w:t>
            </w:r>
          </w:p>
        </w:tc>
        <w:tc>
          <w:tcPr>
            <w:tcW w:w="814" w:type="pct"/>
            <w:gridSpan w:val="3"/>
            <w:vAlign w:val="center"/>
          </w:tcPr>
          <w:p w:rsidR="006E7435" w:rsidRPr="006E7435" w:rsidRDefault="006E7435" w:rsidP="006E7435">
            <w:pPr>
              <w:spacing w:after="60"/>
              <w:rPr>
                <w:lang w:val="sr-Cyrl-CS"/>
              </w:rPr>
            </w:pPr>
            <w:r w:rsidRPr="006E7435">
              <w:rPr>
                <w:lang w:val="sr-Cyrl-CS"/>
              </w:rPr>
              <w:t>Име кандидата</w:t>
            </w:r>
          </w:p>
        </w:tc>
        <w:tc>
          <w:tcPr>
            <w:tcW w:w="691" w:type="pct"/>
            <w:gridSpan w:val="3"/>
            <w:vAlign w:val="center"/>
          </w:tcPr>
          <w:p w:rsidR="006E7435" w:rsidRPr="006E7435" w:rsidRDefault="006E7435" w:rsidP="006E7435">
            <w:pPr>
              <w:spacing w:after="60"/>
              <w:rPr>
                <w:lang w:val="sr-Cyrl-CS"/>
              </w:rPr>
            </w:pPr>
            <w:r w:rsidRPr="006E7435">
              <w:rPr>
                <w:lang w:val="sr-Cyrl-CS"/>
              </w:rPr>
              <w:t xml:space="preserve">*пријављена </w:t>
            </w:r>
          </w:p>
        </w:tc>
        <w:tc>
          <w:tcPr>
            <w:tcW w:w="669" w:type="pct"/>
            <w:gridSpan w:val="2"/>
            <w:vAlign w:val="center"/>
          </w:tcPr>
          <w:p w:rsidR="006E7435" w:rsidRPr="006E7435" w:rsidRDefault="006E7435" w:rsidP="006E7435">
            <w:pPr>
              <w:spacing w:after="60"/>
              <w:rPr>
                <w:lang w:val="sr-Cyrl-CS"/>
              </w:rPr>
            </w:pPr>
            <w:r w:rsidRPr="006E7435">
              <w:rPr>
                <w:lang w:val="sr-Cyrl-CS"/>
              </w:rPr>
              <w:t>** одбрањена</w:t>
            </w:r>
          </w:p>
        </w:tc>
      </w:tr>
      <w:tr w:rsidR="00A84221" w:rsidRPr="006E7435" w:rsidTr="00EC4DBF">
        <w:trPr>
          <w:trHeight w:val="227"/>
          <w:jc w:val="center"/>
        </w:trPr>
        <w:tc>
          <w:tcPr>
            <w:tcW w:w="251" w:type="pct"/>
            <w:vAlign w:val="center"/>
          </w:tcPr>
          <w:p w:rsidR="00A84221" w:rsidRPr="006E7435" w:rsidRDefault="00A84221" w:rsidP="00584250">
            <w:pPr>
              <w:spacing w:after="60"/>
              <w:rPr>
                <w:lang w:val="sr-Cyrl-CS"/>
              </w:rPr>
            </w:pPr>
            <w:r w:rsidRPr="006E7435">
              <w:rPr>
                <w:lang w:val="sr-Cyrl-CS"/>
              </w:rPr>
              <w:t>1.</w:t>
            </w:r>
          </w:p>
        </w:tc>
        <w:tc>
          <w:tcPr>
            <w:tcW w:w="2575" w:type="pct"/>
            <w:gridSpan w:val="4"/>
            <w:vAlign w:val="center"/>
          </w:tcPr>
          <w:p w:rsidR="00A84221" w:rsidRPr="006E7435" w:rsidRDefault="00A84221" w:rsidP="006E7435">
            <w:pPr>
              <w:spacing w:after="60"/>
              <w:rPr>
                <w:lang w:val="sr-Cyrl-CS"/>
              </w:rPr>
            </w:pPr>
          </w:p>
        </w:tc>
        <w:tc>
          <w:tcPr>
            <w:tcW w:w="814" w:type="pct"/>
            <w:gridSpan w:val="3"/>
            <w:vAlign w:val="center"/>
          </w:tcPr>
          <w:p w:rsidR="00A84221" w:rsidRDefault="00A84221" w:rsidP="00EC4DBF">
            <w:pPr>
              <w:pStyle w:val="Default"/>
              <w:jc w:val="center"/>
              <w:rPr>
                <w:sz w:val="20"/>
                <w:szCs w:val="20"/>
              </w:rPr>
            </w:pPr>
          </w:p>
        </w:tc>
        <w:tc>
          <w:tcPr>
            <w:tcW w:w="691" w:type="pct"/>
            <w:gridSpan w:val="3"/>
            <w:vAlign w:val="center"/>
          </w:tcPr>
          <w:p w:rsidR="00A84221" w:rsidRPr="006E7435" w:rsidRDefault="00A84221" w:rsidP="00EC4DBF">
            <w:pPr>
              <w:spacing w:after="60"/>
              <w:jc w:val="center"/>
              <w:rPr>
                <w:lang w:val="sr-Cyrl-CS"/>
              </w:rPr>
            </w:pPr>
          </w:p>
        </w:tc>
        <w:tc>
          <w:tcPr>
            <w:tcW w:w="669" w:type="pct"/>
            <w:gridSpan w:val="2"/>
            <w:vAlign w:val="center"/>
          </w:tcPr>
          <w:p w:rsidR="00A84221" w:rsidRPr="00A84221" w:rsidRDefault="00A84221" w:rsidP="00EC4DBF">
            <w:pPr>
              <w:spacing w:after="60"/>
              <w:jc w:val="center"/>
            </w:pPr>
          </w:p>
        </w:tc>
      </w:tr>
      <w:tr w:rsidR="00A84221" w:rsidRPr="006E7435" w:rsidTr="00A85D19">
        <w:trPr>
          <w:trHeight w:val="227"/>
          <w:jc w:val="center"/>
        </w:trPr>
        <w:tc>
          <w:tcPr>
            <w:tcW w:w="5000" w:type="pct"/>
            <w:gridSpan w:val="13"/>
            <w:vAlign w:val="center"/>
          </w:tcPr>
          <w:p w:rsidR="00A84221" w:rsidRPr="006E7435" w:rsidRDefault="00A84221" w:rsidP="006E7435">
            <w:pPr>
              <w:spacing w:after="60"/>
              <w:rPr>
                <w:lang w:val="sr-Cyrl-CS"/>
              </w:rPr>
            </w:pPr>
            <w:r w:rsidRPr="006E7435">
              <w:rPr>
                <w:lang w:val="sr-Cyrl-CS"/>
              </w:rPr>
              <w:t>*Година  у којој је дисертација</w:t>
            </w:r>
            <w:r w:rsidRPr="006E7435">
              <w:t xml:space="preserve">-докторски уметнички пројекат </w:t>
            </w:r>
            <w:r w:rsidRPr="006E7435">
              <w:rPr>
                <w:lang w:val="sr-Cyrl-CS"/>
              </w:rPr>
              <w:t xml:space="preserve"> пријављена</w:t>
            </w:r>
            <w:r w:rsidRPr="006E7435">
              <w:t xml:space="preserve">-пријављен </w:t>
            </w:r>
            <w:r w:rsidRPr="006E7435">
              <w:rPr>
                <w:lang w:val="sr-Cyrl-CS"/>
              </w:rPr>
              <w:t>(само за дисертације</w:t>
            </w:r>
            <w:r w:rsidRPr="006E7435">
              <w:t xml:space="preserve">-докторске уметничке пројекте </w:t>
            </w:r>
            <w:r w:rsidRPr="006E7435">
              <w:rPr>
                <w:lang w:val="sr-Cyrl-CS"/>
              </w:rPr>
              <w:t xml:space="preserve"> које су у току), ** Година у којој је дисертација</w:t>
            </w:r>
            <w:r w:rsidRPr="006E7435">
              <w:t xml:space="preserve">-докторски уметнички пројекат </w:t>
            </w:r>
            <w:r w:rsidRPr="006E7435">
              <w:rPr>
                <w:lang w:val="sr-Cyrl-CS"/>
              </w:rPr>
              <w:t xml:space="preserve"> одбрањена (само за дисертације</w:t>
            </w:r>
            <w:r w:rsidRPr="006E7435">
              <w:t xml:space="preserve">-докторско уметничке пројекте </w:t>
            </w:r>
            <w:r w:rsidRPr="006E7435">
              <w:rPr>
                <w:lang w:val="sr-Cyrl-CS"/>
              </w:rPr>
              <w:t xml:space="preserve"> из ранијег периода)</w:t>
            </w:r>
          </w:p>
        </w:tc>
      </w:tr>
      <w:tr w:rsidR="00A84221" w:rsidRPr="006E7435" w:rsidTr="00A85D19">
        <w:trPr>
          <w:trHeight w:val="227"/>
          <w:jc w:val="center"/>
        </w:trPr>
        <w:tc>
          <w:tcPr>
            <w:tcW w:w="5000" w:type="pct"/>
            <w:gridSpan w:val="13"/>
            <w:vAlign w:val="center"/>
          </w:tcPr>
          <w:p w:rsidR="00A84221" w:rsidRPr="006E7435" w:rsidRDefault="00A84221" w:rsidP="00A53E6A">
            <w:pPr>
              <w:spacing w:after="60"/>
              <w:rPr>
                <w:b/>
              </w:rPr>
            </w:pPr>
            <w:r w:rsidRPr="006E7435">
              <w:rPr>
                <w:b/>
                <w:lang w:val="sr-Cyrl-CS"/>
              </w:rPr>
              <w:t>Категоризација публикације</w:t>
            </w:r>
            <w:r w:rsidRPr="006E7435">
              <w:rPr>
                <w:b/>
              </w:rPr>
              <w:t xml:space="preserve"> научних радова  из области датог студијског програма </w:t>
            </w:r>
            <w:r w:rsidRPr="006E7435">
              <w:rPr>
                <w:b/>
                <w:lang w:val="sr-Cyrl-CS"/>
              </w:rPr>
              <w:t xml:space="preserve"> према класификацији ре</w:t>
            </w:r>
            <w:r w:rsidRPr="006E7435">
              <w:rPr>
                <w:b/>
              </w:rPr>
              <w:t>с</w:t>
            </w:r>
            <w:r w:rsidRPr="006E7435">
              <w:rPr>
                <w:b/>
                <w:lang w:val="sr-Cyrl-CS"/>
              </w:rPr>
              <w:t xml:space="preserve">орног Министарства просвете, науке и технолошког развоја  а у складу са допунским захтевевима  стандарда за дато поље </w:t>
            </w:r>
          </w:p>
        </w:tc>
      </w:tr>
      <w:tr w:rsidR="00A84221" w:rsidRPr="006E7435" w:rsidTr="002F24D3">
        <w:trPr>
          <w:trHeight w:val="227"/>
          <w:jc w:val="center"/>
        </w:trPr>
        <w:tc>
          <w:tcPr>
            <w:tcW w:w="251" w:type="pct"/>
            <w:vAlign w:val="center"/>
          </w:tcPr>
          <w:p w:rsidR="00A84221" w:rsidRPr="006E7435" w:rsidRDefault="00A84221" w:rsidP="006E7435">
            <w:pPr>
              <w:spacing w:after="60"/>
              <w:ind w:left="-23"/>
            </w:pPr>
            <w:r w:rsidRPr="006E7435">
              <w:t>Р.б.</w:t>
            </w:r>
          </w:p>
        </w:tc>
        <w:tc>
          <w:tcPr>
            <w:tcW w:w="3658" w:type="pct"/>
            <w:gridSpan w:val="8"/>
          </w:tcPr>
          <w:p w:rsidR="00A84221" w:rsidRPr="006E7435" w:rsidRDefault="00A84221" w:rsidP="006E7435">
            <w:pPr>
              <w:pStyle w:val="TableParagraph"/>
              <w:ind w:left="65" w:right="-15"/>
              <w:jc w:val="both"/>
              <w:rPr>
                <w:sz w:val="20"/>
                <w:szCs w:val="20"/>
              </w:rPr>
            </w:pPr>
            <w:proofErr w:type="spellStart"/>
            <w:r w:rsidRPr="006E7435">
              <w:rPr>
                <w:sz w:val="20"/>
                <w:szCs w:val="20"/>
              </w:rPr>
              <w:t>Публикација</w:t>
            </w:r>
            <w:proofErr w:type="spellEnd"/>
          </w:p>
        </w:tc>
        <w:tc>
          <w:tcPr>
            <w:tcW w:w="321" w:type="pct"/>
          </w:tcPr>
          <w:p w:rsidR="00A84221" w:rsidRPr="006E7435" w:rsidRDefault="00A84221" w:rsidP="006E7435">
            <w:pPr>
              <w:pStyle w:val="TableParagraph"/>
              <w:spacing w:before="8"/>
              <w:jc w:val="center"/>
              <w:rPr>
                <w:sz w:val="20"/>
                <w:szCs w:val="20"/>
              </w:rPr>
            </w:pPr>
            <w:r w:rsidRPr="006E7435">
              <w:rPr>
                <w:sz w:val="20"/>
                <w:szCs w:val="20"/>
              </w:rPr>
              <w:t>ISI</w:t>
            </w:r>
          </w:p>
        </w:tc>
        <w:tc>
          <w:tcPr>
            <w:tcW w:w="385" w:type="pct"/>
            <w:gridSpan w:val="2"/>
          </w:tcPr>
          <w:p w:rsidR="00A84221" w:rsidRPr="006E7435" w:rsidRDefault="00A84221" w:rsidP="006E7435">
            <w:pPr>
              <w:pStyle w:val="TableParagraph"/>
              <w:spacing w:before="8"/>
              <w:jc w:val="center"/>
              <w:rPr>
                <w:sz w:val="20"/>
                <w:szCs w:val="20"/>
              </w:rPr>
            </w:pPr>
            <w:r w:rsidRPr="006E7435">
              <w:rPr>
                <w:sz w:val="20"/>
                <w:szCs w:val="20"/>
              </w:rPr>
              <w:t>M</w:t>
            </w:r>
          </w:p>
        </w:tc>
        <w:tc>
          <w:tcPr>
            <w:tcW w:w="385" w:type="pct"/>
          </w:tcPr>
          <w:p w:rsidR="00A84221" w:rsidRPr="006E7435" w:rsidRDefault="00A84221" w:rsidP="006E7435">
            <w:pPr>
              <w:pStyle w:val="TableParagraph"/>
              <w:spacing w:before="8"/>
              <w:jc w:val="center"/>
              <w:rPr>
                <w:sz w:val="20"/>
                <w:szCs w:val="20"/>
              </w:rPr>
            </w:pPr>
            <w:r w:rsidRPr="006E7435">
              <w:rPr>
                <w:sz w:val="20"/>
                <w:szCs w:val="20"/>
              </w:rPr>
              <w:t>IF</w:t>
            </w:r>
          </w:p>
        </w:tc>
      </w:tr>
      <w:tr w:rsidR="0033672F" w:rsidRPr="006E7435" w:rsidTr="002F24D3">
        <w:trPr>
          <w:trHeight w:val="227"/>
          <w:jc w:val="center"/>
        </w:trPr>
        <w:tc>
          <w:tcPr>
            <w:tcW w:w="251" w:type="pct"/>
            <w:vAlign w:val="center"/>
          </w:tcPr>
          <w:p w:rsidR="0033672F" w:rsidRPr="006E7435" w:rsidRDefault="0033672F" w:rsidP="00D138CB">
            <w:pPr>
              <w:spacing w:after="60"/>
              <w:ind w:left="-23"/>
              <w:jc w:val="center"/>
            </w:pPr>
            <w:r w:rsidRPr="00A53E6A">
              <w:t>1.</w:t>
            </w:r>
          </w:p>
        </w:tc>
        <w:tc>
          <w:tcPr>
            <w:tcW w:w="3658" w:type="pct"/>
            <w:gridSpan w:val="8"/>
          </w:tcPr>
          <w:p w:rsidR="0033672F" w:rsidRPr="00AC3F20" w:rsidRDefault="0033672F" w:rsidP="00BC7347">
            <w:pPr>
              <w:pStyle w:val="TableParagraph"/>
              <w:ind w:right="-15"/>
              <w:jc w:val="both"/>
              <w:rPr>
                <w:sz w:val="20"/>
                <w:szCs w:val="20"/>
              </w:rPr>
            </w:pPr>
            <w:r w:rsidRPr="00AC3F20">
              <w:rPr>
                <w:sz w:val="20"/>
                <w:szCs w:val="20"/>
                <w:lang w:val="sr-Latn-CS"/>
              </w:rPr>
              <w:t xml:space="preserve">Popović R, Anđelić N, Jovanović G, Maricic Prijic S, Uvelin A, Tomić N, Plećaš Đurić A, </w:t>
            </w:r>
            <w:r w:rsidRPr="00AC3F20">
              <w:rPr>
                <w:b/>
                <w:sz w:val="20"/>
                <w:szCs w:val="20"/>
                <w:lang w:val="sr-Latn-CS"/>
              </w:rPr>
              <w:t>Todorović N</w:t>
            </w:r>
            <w:r w:rsidRPr="00AC3F20">
              <w:rPr>
                <w:sz w:val="20"/>
                <w:szCs w:val="20"/>
                <w:lang w:val="sr-Latn-CS"/>
              </w:rPr>
              <w:t>, Milijašević B, Marković DŽ. Intra-Abdominal Sepsis in Critically Ill Surgical Patients: The Relationship Between Cumulative Fluid Balance and Serum Sodium and Chloride Levels and In-Hospital Mortality.</w:t>
            </w:r>
            <w:r w:rsidR="00BC7347" w:rsidRPr="00AC3F20">
              <w:rPr>
                <w:sz w:val="20"/>
                <w:szCs w:val="20"/>
                <w:lang w:val="sr-Latn-CS"/>
              </w:rPr>
              <w:t xml:space="preserve"> Front Med</w:t>
            </w:r>
            <w:r w:rsidRPr="00AC3F20">
              <w:rPr>
                <w:sz w:val="20"/>
                <w:szCs w:val="20"/>
                <w:lang w:val="sr-Latn-CS"/>
              </w:rPr>
              <w:t>. 2025:1608388.</w:t>
            </w:r>
          </w:p>
        </w:tc>
        <w:tc>
          <w:tcPr>
            <w:tcW w:w="321" w:type="pct"/>
          </w:tcPr>
          <w:p w:rsidR="0033672F" w:rsidRPr="00AC3F20" w:rsidRDefault="0033672F" w:rsidP="0033672F">
            <w:pPr>
              <w:pStyle w:val="TableParagraph"/>
              <w:spacing w:before="8"/>
              <w:jc w:val="center"/>
              <w:rPr>
                <w:sz w:val="20"/>
                <w:szCs w:val="20"/>
              </w:rPr>
            </w:pPr>
          </w:p>
        </w:tc>
        <w:tc>
          <w:tcPr>
            <w:tcW w:w="385" w:type="pct"/>
            <w:gridSpan w:val="2"/>
          </w:tcPr>
          <w:p w:rsidR="0033672F" w:rsidRPr="00AC3F20" w:rsidRDefault="00557186" w:rsidP="0033672F">
            <w:pPr>
              <w:pStyle w:val="TableParagraph"/>
              <w:spacing w:before="8"/>
              <w:jc w:val="center"/>
              <w:rPr>
                <w:sz w:val="20"/>
                <w:szCs w:val="20"/>
              </w:rPr>
            </w:pPr>
            <w:r w:rsidRPr="00AC3F20">
              <w:rPr>
                <w:sz w:val="20"/>
                <w:szCs w:val="20"/>
              </w:rPr>
              <w:t>21 (2024)</w:t>
            </w:r>
          </w:p>
        </w:tc>
        <w:tc>
          <w:tcPr>
            <w:tcW w:w="385" w:type="pct"/>
          </w:tcPr>
          <w:p w:rsidR="0033672F" w:rsidRPr="00AC3F20" w:rsidRDefault="00557186" w:rsidP="00557186">
            <w:pPr>
              <w:pStyle w:val="TableParagraph"/>
              <w:spacing w:before="8"/>
              <w:jc w:val="center"/>
              <w:rPr>
                <w:sz w:val="20"/>
                <w:szCs w:val="20"/>
              </w:rPr>
            </w:pPr>
            <w:r w:rsidRPr="00AC3F20">
              <w:rPr>
                <w:sz w:val="20"/>
                <w:szCs w:val="20"/>
              </w:rPr>
              <w:t>3.3</w:t>
            </w:r>
          </w:p>
        </w:tc>
      </w:tr>
      <w:tr w:rsidR="0033672F" w:rsidRPr="006E7435" w:rsidTr="002F24D3">
        <w:trPr>
          <w:trHeight w:val="227"/>
          <w:jc w:val="center"/>
        </w:trPr>
        <w:tc>
          <w:tcPr>
            <w:tcW w:w="251" w:type="pct"/>
            <w:vAlign w:val="center"/>
          </w:tcPr>
          <w:p w:rsidR="0033672F" w:rsidRPr="006E7435" w:rsidRDefault="0033672F" w:rsidP="00D138CB">
            <w:pPr>
              <w:spacing w:after="60"/>
              <w:ind w:left="-23"/>
              <w:jc w:val="center"/>
            </w:pPr>
            <w:r w:rsidRPr="00A53E6A">
              <w:t>2.</w:t>
            </w:r>
          </w:p>
        </w:tc>
        <w:tc>
          <w:tcPr>
            <w:tcW w:w="3658" w:type="pct"/>
            <w:gridSpan w:val="8"/>
          </w:tcPr>
          <w:p w:rsidR="0033672F" w:rsidRPr="00AC3F20" w:rsidRDefault="0033672F" w:rsidP="0033672F">
            <w:pPr>
              <w:pStyle w:val="TableParagraph"/>
              <w:ind w:right="-15"/>
              <w:jc w:val="both"/>
              <w:rPr>
                <w:sz w:val="20"/>
                <w:szCs w:val="20"/>
              </w:rPr>
            </w:pPr>
            <w:r w:rsidRPr="00AC3F20">
              <w:rPr>
                <w:sz w:val="20"/>
                <w:szCs w:val="20"/>
              </w:rPr>
              <w:t xml:space="preserve">Lalić-Popović N, </w:t>
            </w:r>
            <w:r w:rsidRPr="00AC3F20">
              <w:rPr>
                <w:b/>
                <w:sz w:val="20"/>
                <w:szCs w:val="20"/>
              </w:rPr>
              <w:t>Todorović N</w:t>
            </w:r>
            <w:r w:rsidRPr="00AC3F20">
              <w:rPr>
                <w:sz w:val="20"/>
                <w:szCs w:val="20"/>
              </w:rPr>
              <w:t>, Čabarkapa I, Hadnađev I, Kukurić I, Kovačević Z. Development of an extemporaneous veterinary oral paste formulation with praziquantel and ivermectin for equine.</w:t>
            </w:r>
            <w:r w:rsidR="00BC7347" w:rsidRPr="00AC3F20">
              <w:rPr>
                <w:sz w:val="20"/>
                <w:szCs w:val="20"/>
              </w:rPr>
              <w:t xml:space="preserve"> </w:t>
            </w:r>
            <w:r w:rsidR="00BC7347" w:rsidRPr="00AC3F20">
              <w:rPr>
                <w:sz w:val="20"/>
                <w:szCs w:val="20"/>
                <w:lang w:val="sr-Latn-CS"/>
              </w:rPr>
              <w:t>Vet Arh</w:t>
            </w:r>
            <w:r w:rsidRPr="00AC3F20">
              <w:rPr>
                <w:sz w:val="20"/>
                <w:szCs w:val="20"/>
                <w:lang w:val="sr-Latn-CS"/>
              </w:rPr>
              <w:t>. 2025;95(3):251-62.</w:t>
            </w:r>
          </w:p>
        </w:tc>
        <w:tc>
          <w:tcPr>
            <w:tcW w:w="321" w:type="pct"/>
          </w:tcPr>
          <w:p w:rsidR="0033672F" w:rsidRPr="00AC3F20" w:rsidRDefault="0033672F" w:rsidP="0033672F">
            <w:pPr>
              <w:pStyle w:val="TableParagraph"/>
              <w:spacing w:before="8"/>
              <w:jc w:val="center"/>
              <w:rPr>
                <w:sz w:val="20"/>
                <w:szCs w:val="20"/>
              </w:rPr>
            </w:pPr>
          </w:p>
        </w:tc>
        <w:tc>
          <w:tcPr>
            <w:tcW w:w="385" w:type="pct"/>
            <w:gridSpan w:val="2"/>
          </w:tcPr>
          <w:p w:rsidR="0033672F" w:rsidRPr="00AC3F20" w:rsidRDefault="00AC215E" w:rsidP="0033672F">
            <w:pPr>
              <w:pStyle w:val="TableParagraph"/>
              <w:spacing w:before="8"/>
              <w:jc w:val="center"/>
              <w:rPr>
                <w:sz w:val="20"/>
                <w:szCs w:val="20"/>
              </w:rPr>
            </w:pPr>
            <w:r w:rsidRPr="00AC3F20">
              <w:rPr>
                <w:sz w:val="20"/>
                <w:szCs w:val="20"/>
              </w:rPr>
              <w:t>23 (2024)</w:t>
            </w:r>
          </w:p>
        </w:tc>
        <w:tc>
          <w:tcPr>
            <w:tcW w:w="385" w:type="pct"/>
          </w:tcPr>
          <w:p w:rsidR="0033672F" w:rsidRPr="00AC3F20" w:rsidRDefault="00AC215E" w:rsidP="0033672F">
            <w:pPr>
              <w:pStyle w:val="TableParagraph"/>
              <w:spacing w:before="8"/>
              <w:jc w:val="center"/>
              <w:rPr>
                <w:sz w:val="20"/>
                <w:szCs w:val="20"/>
              </w:rPr>
            </w:pPr>
            <w:r w:rsidRPr="00AC3F20">
              <w:rPr>
                <w:sz w:val="20"/>
                <w:szCs w:val="20"/>
              </w:rPr>
              <w:t>0.5</w:t>
            </w:r>
          </w:p>
        </w:tc>
      </w:tr>
      <w:tr w:rsidR="00487DA6" w:rsidRPr="006E7435" w:rsidTr="0004542C">
        <w:trPr>
          <w:trHeight w:val="227"/>
          <w:jc w:val="center"/>
        </w:trPr>
        <w:tc>
          <w:tcPr>
            <w:tcW w:w="251" w:type="pct"/>
            <w:vAlign w:val="center"/>
          </w:tcPr>
          <w:p w:rsidR="00487DA6" w:rsidRPr="00A53E6A" w:rsidRDefault="00487DA6" w:rsidP="00EF6233">
            <w:pPr>
              <w:jc w:val="center"/>
            </w:pPr>
            <w:r w:rsidRPr="00A53E6A">
              <w:t>3.</w:t>
            </w:r>
          </w:p>
        </w:tc>
        <w:tc>
          <w:tcPr>
            <w:tcW w:w="3658" w:type="pct"/>
            <w:gridSpan w:val="8"/>
          </w:tcPr>
          <w:p w:rsidR="00487DA6" w:rsidRPr="00AC3F20" w:rsidRDefault="00487DA6" w:rsidP="00EF6233">
            <w:pPr>
              <w:pStyle w:val="Heading3"/>
              <w:spacing w:before="0"/>
              <w:jc w:val="both"/>
              <w:rPr>
                <w:rFonts w:ascii="Times New Roman" w:hAnsi="Times New Roman"/>
                <w:b w:val="0"/>
                <w:sz w:val="20"/>
                <w:szCs w:val="20"/>
              </w:rPr>
            </w:pPr>
            <w:r w:rsidRPr="00AC3F20">
              <w:rPr>
                <w:rFonts w:ascii="Times New Roman" w:hAnsi="Times New Roman"/>
                <w:b w:val="0"/>
                <w:sz w:val="20"/>
                <w:szCs w:val="20"/>
                <w:lang w:val="sr-Latn-CS"/>
              </w:rPr>
              <w:t xml:space="preserve">Vesković D, Roš T, Vuković M, Jovičić Bata J, Banjac J, Lalić-Popović M, Jovanović Ljubičić J, Stanišić T, </w:t>
            </w:r>
            <w:r w:rsidRPr="00AC3F20">
              <w:rPr>
                <w:rFonts w:ascii="Times New Roman" w:hAnsi="Times New Roman"/>
                <w:sz w:val="20"/>
                <w:szCs w:val="20"/>
                <w:lang w:val="sr-Latn-CS"/>
              </w:rPr>
              <w:t>Todorović N</w:t>
            </w:r>
            <w:r w:rsidRPr="00AC3F20">
              <w:rPr>
                <w:rFonts w:ascii="Times New Roman" w:hAnsi="Times New Roman"/>
                <w:b w:val="0"/>
                <w:sz w:val="20"/>
                <w:szCs w:val="20"/>
                <w:lang w:val="sr-Latn-CS"/>
              </w:rPr>
              <w:t>, Miljković D. Acne in Population of Medical Students in Novi Sad, Serbia–Prevalence, Risk Factors, and Evaluation of the Quality of Life. Bratisl Med J. 2025:1-9.</w:t>
            </w:r>
          </w:p>
        </w:tc>
        <w:tc>
          <w:tcPr>
            <w:tcW w:w="321" w:type="pct"/>
            <w:vAlign w:val="center"/>
          </w:tcPr>
          <w:p w:rsidR="00487DA6" w:rsidRPr="00AC3F20" w:rsidRDefault="00487DA6" w:rsidP="00EF6233">
            <w:pPr>
              <w:jc w:val="center"/>
            </w:pPr>
          </w:p>
        </w:tc>
        <w:tc>
          <w:tcPr>
            <w:tcW w:w="385" w:type="pct"/>
            <w:gridSpan w:val="2"/>
          </w:tcPr>
          <w:p w:rsidR="00487DA6" w:rsidRPr="00AC3F20" w:rsidRDefault="00487DA6" w:rsidP="00EF6233">
            <w:pPr>
              <w:pStyle w:val="TableParagraph"/>
              <w:spacing w:before="8"/>
              <w:jc w:val="center"/>
              <w:rPr>
                <w:sz w:val="20"/>
                <w:szCs w:val="20"/>
              </w:rPr>
            </w:pPr>
            <w:r w:rsidRPr="00AC3F20">
              <w:rPr>
                <w:sz w:val="20"/>
                <w:szCs w:val="20"/>
              </w:rPr>
              <w:t>22 (2024)</w:t>
            </w:r>
          </w:p>
        </w:tc>
        <w:tc>
          <w:tcPr>
            <w:tcW w:w="385" w:type="pct"/>
          </w:tcPr>
          <w:p w:rsidR="00487DA6" w:rsidRPr="00AC3F20" w:rsidRDefault="00487DA6" w:rsidP="00EF6233">
            <w:pPr>
              <w:pStyle w:val="TableParagraph"/>
              <w:spacing w:before="8"/>
              <w:jc w:val="center"/>
              <w:rPr>
                <w:sz w:val="20"/>
                <w:szCs w:val="20"/>
              </w:rPr>
            </w:pPr>
            <w:r w:rsidRPr="00AC3F20">
              <w:rPr>
                <w:sz w:val="20"/>
                <w:szCs w:val="20"/>
              </w:rPr>
              <w:t>1.4</w:t>
            </w:r>
          </w:p>
        </w:tc>
      </w:tr>
      <w:tr w:rsidR="00487DA6" w:rsidRPr="006E7435" w:rsidTr="002F24D3">
        <w:trPr>
          <w:trHeight w:val="227"/>
          <w:jc w:val="center"/>
        </w:trPr>
        <w:tc>
          <w:tcPr>
            <w:tcW w:w="251" w:type="pct"/>
            <w:vAlign w:val="center"/>
          </w:tcPr>
          <w:p w:rsidR="00487DA6" w:rsidRPr="00A53E6A" w:rsidRDefault="00487DA6" w:rsidP="00EF6233">
            <w:pPr>
              <w:jc w:val="center"/>
            </w:pPr>
            <w:r w:rsidRPr="00A53E6A">
              <w:t>4.</w:t>
            </w:r>
          </w:p>
        </w:tc>
        <w:tc>
          <w:tcPr>
            <w:tcW w:w="3658" w:type="pct"/>
            <w:gridSpan w:val="8"/>
          </w:tcPr>
          <w:p w:rsidR="00487DA6" w:rsidRPr="00AC3F20" w:rsidRDefault="00487DA6" w:rsidP="006D144E">
            <w:pPr>
              <w:pStyle w:val="TableParagraph"/>
              <w:spacing w:line="276" w:lineRule="auto"/>
              <w:ind w:right="-15"/>
              <w:jc w:val="both"/>
              <w:rPr>
                <w:sz w:val="20"/>
                <w:szCs w:val="20"/>
              </w:rPr>
            </w:pPr>
            <w:r w:rsidRPr="00AC3F20">
              <w:rPr>
                <w:sz w:val="20"/>
                <w:szCs w:val="20"/>
                <w:lang w:val="sr-Latn-CS"/>
              </w:rPr>
              <w:t xml:space="preserve">Farkaš Agatić Z, Tepavčević V, Lalić-Popović M, </w:t>
            </w:r>
            <w:r w:rsidRPr="00AC3F20">
              <w:rPr>
                <w:b/>
                <w:sz w:val="20"/>
                <w:szCs w:val="20"/>
                <w:lang w:val="sr-Latn-CS"/>
              </w:rPr>
              <w:t>Todorović N</w:t>
            </w:r>
            <w:r w:rsidRPr="00AC3F20">
              <w:rPr>
                <w:sz w:val="20"/>
                <w:szCs w:val="20"/>
                <w:lang w:val="sr-Latn-CS"/>
              </w:rPr>
              <w:t>, Stijepanović A, Poša M. A preformulation experiment: The influence of Poloxamer 188 and Poloxamer 407 on the binding coefficients (single molecule) and the partitioning coefficients (micelle) of ketoprofen (probe molecule) with sodium cholate, dodecyl trimethylammonium bromide and BrijC10 surfactants. Pharm Res. 2025</w:t>
            </w:r>
            <w:r w:rsidR="006D144E">
              <w:rPr>
                <w:sz w:val="20"/>
                <w:szCs w:val="20"/>
                <w:lang w:val="sr-Latn-CS"/>
              </w:rPr>
              <w:t>;42(4)</w:t>
            </w:r>
            <w:r w:rsidRPr="00AC3F20">
              <w:rPr>
                <w:sz w:val="20"/>
                <w:szCs w:val="20"/>
                <w:lang w:val="sr-Latn-CS"/>
              </w:rPr>
              <w:t>:</w:t>
            </w:r>
            <w:r w:rsidR="006D144E">
              <w:rPr>
                <w:sz w:val="20"/>
                <w:szCs w:val="20"/>
                <w:lang w:val="sr-Latn-CS"/>
              </w:rPr>
              <w:t>71</w:t>
            </w:r>
            <w:r w:rsidRPr="00AC3F20">
              <w:rPr>
                <w:sz w:val="20"/>
                <w:szCs w:val="20"/>
                <w:lang w:val="sr-Latn-CS"/>
              </w:rPr>
              <w:t>1-</w:t>
            </w:r>
            <w:r w:rsidR="006D144E">
              <w:rPr>
                <w:sz w:val="20"/>
                <w:szCs w:val="20"/>
                <w:lang w:val="sr-Latn-CS"/>
              </w:rPr>
              <w:t>2</w:t>
            </w:r>
            <w:r w:rsidRPr="00AC3F20">
              <w:rPr>
                <w:sz w:val="20"/>
                <w:szCs w:val="20"/>
                <w:lang w:val="sr-Latn-CS"/>
              </w:rPr>
              <w:t>4.</w:t>
            </w:r>
            <w:r w:rsidR="006D144E">
              <w:rPr>
                <w:sz w:val="20"/>
                <w:szCs w:val="20"/>
                <w:lang w:val="sr-Latn-CS"/>
              </w:rPr>
              <w:t xml:space="preserve"> </w:t>
            </w:r>
          </w:p>
        </w:tc>
        <w:tc>
          <w:tcPr>
            <w:tcW w:w="321" w:type="pct"/>
            <w:vAlign w:val="center"/>
          </w:tcPr>
          <w:p w:rsidR="00487DA6" w:rsidRPr="00AC3F20" w:rsidRDefault="00487DA6" w:rsidP="0033672F">
            <w:pPr>
              <w:pStyle w:val="TableParagraph"/>
              <w:spacing w:before="8" w:line="276" w:lineRule="auto"/>
              <w:jc w:val="center"/>
              <w:rPr>
                <w:sz w:val="20"/>
                <w:szCs w:val="20"/>
              </w:rPr>
            </w:pPr>
          </w:p>
        </w:tc>
        <w:tc>
          <w:tcPr>
            <w:tcW w:w="385" w:type="pct"/>
            <w:gridSpan w:val="2"/>
            <w:vAlign w:val="center"/>
          </w:tcPr>
          <w:p w:rsidR="00487DA6" w:rsidRPr="00AC3F20" w:rsidRDefault="00487DA6" w:rsidP="0033672F">
            <w:pPr>
              <w:pStyle w:val="TableParagraph"/>
              <w:spacing w:before="8" w:line="276" w:lineRule="auto"/>
              <w:jc w:val="center"/>
              <w:rPr>
                <w:sz w:val="20"/>
                <w:szCs w:val="20"/>
              </w:rPr>
            </w:pPr>
            <w:r w:rsidRPr="00AC3F20">
              <w:rPr>
                <w:sz w:val="20"/>
                <w:szCs w:val="20"/>
              </w:rPr>
              <w:t>21 (2024)</w:t>
            </w:r>
          </w:p>
        </w:tc>
        <w:tc>
          <w:tcPr>
            <w:tcW w:w="385" w:type="pct"/>
            <w:vAlign w:val="center"/>
          </w:tcPr>
          <w:p w:rsidR="00487DA6" w:rsidRPr="00AC3F20" w:rsidRDefault="00487DA6" w:rsidP="0033672F">
            <w:pPr>
              <w:pStyle w:val="TableParagraph"/>
              <w:spacing w:before="8" w:line="276" w:lineRule="auto"/>
              <w:jc w:val="center"/>
              <w:rPr>
                <w:sz w:val="20"/>
                <w:szCs w:val="20"/>
              </w:rPr>
            </w:pPr>
            <w:r w:rsidRPr="00AC3F20">
              <w:rPr>
                <w:sz w:val="20"/>
                <w:szCs w:val="20"/>
              </w:rPr>
              <w:t>4.3</w:t>
            </w:r>
          </w:p>
        </w:tc>
      </w:tr>
      <w:tr w:rsidR="00487DA6" w:rsidRPr="006E7435" w:rsidTr="005B3716">
        <w:trPr>
          <w:trHeight w:val="227"/>
          <w:jc w:val="center"/>
        </w:trPr>
        <w:tc>
          <w:tcPr>
            <w:tcW w:w="251" w:type="pct"/>
            <w:vAlign w:val="center"/>
          </w:tcPr>
          <w:p w:rsidR="00487DA6" w:rsidRPr="00A53E6A" w:rsidRDefault="00487DA6" w:rsidP="00EF6233">
            <w:pPr>
              <w:jc w:val="center"/>
            </w:pPr>
            <w:r w:rsidRPr="00A53E6A">
              <w:t>5.</w:t>
            </w:r>
          </w:p>
        </w:tc>
        <w:tc>
          <w:tcPr>
            <w:tcW w:w="3658" w:type="pct"/>
            <w:gridSpan w:val="8"/>
          </w:tcPr>
          <w:p w:rsidR="00487DA6" w:rsidRPr="00AC3F20" w:rsidRDefault="00487DA6" w:rsidP="00EF6233">
            <w:pPr>
              <w:pStyle w:val="Heading3"/>
              <w:spacing w:before="0"/>
              <w:jc w:val="both"/>
              <w:rPr>
                <w:rFonts w:ascii="Times New Roman" w:hAnsi="Times New Roman"/>
                <w:b w:val="0"/>
                <w:sz w:val="20"/>
                <w:szCs w:val="20"/>
              </w:rPr>
            </w:pPr>
            <w:r w:rsidRPr="00AC3F20">
              <w:rPr>
                <w:rFonts w:ascii="Times New Roman" w:hAnsi="Times New Roman"/>
                <w:b w:val="0"/>
                <w:sz w:val="20"/>
                <w:szCs w:val="20"/>
                <w:lang w:val="sr-Latn-CS"/>
              </w:rPr>
              <w:t xml:space="preserve">Jovičić-Bata J, </w:t>
            </w:r>
            <w:r w:rsidRPr="00AC3F20">
              <w:rPr>
                <w:rFonts w:ascii="Times New Roman" w:hAnsi="Times New Roman"/>
                <w:sz w:val="20"/>
                <w:szCs w:val="20"/>
                <w:lang w:val="sr-Latn-CS"/>
              </w:rPr>
              <w:t>Todorović N</w:t>
            </w:r>
            <w:r w:rsidRPr="00AC3F20">
              <w:rPr>
                <w:rFonts w:ascii="Times New Roman" w:hAnsi="Times New Roman"/>
                <w:b w:val="0"/>
                <w:sz w:val="20"/>
                <w:szCs w:val="20"/>
                <w:lang w:val="sr-Latn-CS"/>
              </w:rPr>
              <w:t>, Krstonošić V, Ristić I, Kovačević Z, Vuković M, Lalić-Popović M. Liquid-and Semisolid-Filled Hard Gelatin Capsules Containing Alpha-Lipoic Acid as a Suitable Dosage Form for Compounding Medicines and Dietary Supplements. Pharmaceutics. 2024;16(7):892.</w:t>
            </w:r>
          </w:p>
        </w:tc>
        <w:tc>
          <w:tcPr>
            <w:tcW w:w="321" w:type="pct"/>
            <w:vAlign w:val="center"/>
          </w:tcPr>
          <w:p w:rsidR="00487DA6" w:rsidRPr="00AC3F20" w:rsidRDefault="00487DA6" w:rsidP="00EF6233">
            <w:pPr>
              <w:jc w:val="center"/>
            </w:pPr>
          </w:p>
        </w:tc>
        <w:tc>
          <w:tcPr>
            <w:tcW w:w="385" w:type="pct"/>
            <w:gridSpan w:val="2"/>
            <w:vAlign w:val="center"/>
          </w:tcPr>
          <w:p w:rsidR="00487DA6" w:rsidRPr="00AC3F20" w:rsidRDefault="00487DA6" w:rsidP="00EF6233">
            <w:pPr>
              <w:jc w:val="center"/>
            </w:pPr>
            <w:r w:rsidRPr="00AC3F20">
              <w:t>21a</w:t>
            </w:r>
          </w:p>
        </w:tc>
        <w:tc>
          <w:tcPr>
            <w:tcW w:w="385" w:type="pct"/>
            <w:vAlign w:val="center"/>
          </w:tcPr>
          <w:p w:rsidR="00487DA6" w:rsidRPr="00AC3F20" w:rsidRDefault="00487DA6" w:rsidP="00EF6233">
            <w:pPr>
              <w:jc w:val="center"/>
            </w:pPr>
            <w:r w:rsidRPr="00AC3F20">
              <w:t>5.8</w:t>
            </w:r>
          </w:p>
        </w:tc>
      </w:tr>
      <w:tr w:rsidR="00487DA6" w:rsidRPr="006E7435" w:rsidTr="002F24D3">
        <w:trPr>
          <w:trHeight w:val="227"/>
          <w:jc w:val="center"/>
        </w:trPr>
        <w:tc>
          <w:tcPr>
            <w:tcW w:w="251" w:type="pct"/>
            <w:vAlign w:val="center"/>
          </w:tcPr>
          <w:p w:rsidR="00487DA6" w:rsidRPr="00A53E6A" w:rsidRDefault="00487DA6" w:rsidP="00EF6233">
            <w:pPr>
              <w:jc w:val="center"/>
            </w:pPr>
            <w:r w:rsidRPr="00A53E6A">
              <w:t>6.</w:t>
            </w:r>
          </w:p>
        </w:tc>
        <w:tc>
          <w:tcPr>
            <w:tcW w:w="3658" w:type="pct"/>
            <w:gridSpan w:val="8"/>
          </w:tcPr>
          <w:p w:rsidR="00487DA6" w:rsidRPr="00AC3F20" w:rsidRDefault="00487DA6" w:rsidP="00EF6233">
            <w:pPr>
              <w:pStyle w:val="Heading3"/>
              <w:spacing w:before="0"/>
              <w:jc w:val="both"/>
              <w:rPr>
                <w:rFonts w:ascii="Times New Roman" w:hAnsi="Times New Roman"/>
                <w:b w:val="0"/>
                <w:sz w:val="20"/>
                <w:szCs w:val="20"/>
              </w:rPr>
            </w:pPr>
            <w:r w:rsidRPr="00AC3F20">
              <w:rPr>
                <w:rFonts w:ascii="Times New Roman" w:hAnsi="Times New Roman"/>
                <w:b w:val="0"/>
                <w:sz w:val="20"/>
                <w:szCs w:val="20"/>
                <w:lang w:val="sr-Latn-CS"/>
              </w:rPr>
              <w:t xml:space="preserve">Vuković M, Jovičić Bata J, </w:t>
            </w:r>
            <w:r w:rsidRPr="00AC3F20">
              <w:rPr>
                <w:rFonts w:ascii="Times New Roman" w:hAnsi="Times New Roman"/>
                <w:sz w:val="20"/>
                <w:szCs w:val="20"/>
                <w:lang w:val="sr-Latn-CS"/>
              </w:rPr>
              <w:t>Todorović N</w:t>
            </w:r>
            <w:r w:rsidRPr="00AC3F20">
              <w:rPr>
                <w:rFonts w:ascii="Times New Roman" w:hAnsi="Times New Roman"/>
                <w:b w:val="0"/>
                <w:sz w:val="20"/>
                <w:szCs w:val="20"/>
                <w:lang w:val="sr-Latn-CS"/>
              </w:rPr>
              <w:t>, Puača G, Vesković D, Čanji Panić J, Dugandžija T, Lalić-Popović M. Diabetes management, dietary supplements use and the effect of coronavirus pandemic on diabetes patients in Serbia: a cross-sectional study. Curr Med Res Opin. 2024;40(2):165-74.</w:t>
            </w:r>
          </w:p>
        </w:tc>
        <w:tc>
          <w:tcPr>
            <w:tcW w:w="321" w:type="pct"/>
            <w:vAlign w:val="center"/>
          </w:tcPr>
          <w:p w:rsidR="00487DA6" w:rsidRPr="00AC3F20" w:rsidRDefault="00487DA6" w:rsidP="00EF6233">
            <w:pPr>
              <w:jc w:val="center"/>
            </w:pPr>
          </w:p>
        </w:tc>
        <w:tc>
          <w:tcPr>
            <w:tcW w:w="385" w:type="pct"/>
            <w:gridSpan w:val="2"/>
            <w:vAlign w:val="center"/>
          </w:tcPr>
          <w:p w:rsidR="00487DA6" w:rsidRPr="00AC3F20" w:rsidRDefault="00487DA6" w:rsidP="00EF6233">
            <w:pPr>
              <w:jc w:val="center"/>
            </w:pPr>
            <w:r w:rsidRPr="00AC3F20">
              <w:t>21</w:t>
            </w:r>
          </w:p>
        </w:tc>
        <w:tc>
          <w:tcPr>
            <w:tcW w:w="385" w:type="pct"/>
            <w:vAlign w:val="center"/>
          </w:tcPr>
          <w:p w:rsidR="00487DA6" w:rsidRPr="00AC3F20" w:rsidRDefault="00487DA6" w:rsidP="00EF6233">
            <w:pPr>
              <w:jc w:val="center"/>
            </w:pPr>
            <w:r w:rsidRPr="00AC3F20">
              <w:t>2.3</w:t>
            </w:r>
          </w:p>
        </w:tc>
      </w:tr>
      <w:tr w:rsidR="00487DA6" w:rsidRPr="006E7435" w:rsidTr="002F24D3">
        <w:trPr>
          <w:trHeight w:val="227"/>
          <w:jc w:val="center"/>
        </w:trPr>
        <w:tc>
          <w:tcPr>
            <w:tcW w:w="251" w:type="pct"/>
            <w:vAlign w:val="center"/>
          </w:tcPr>
          <w:p w:rsidR="00487DA6" w:rsidRPr="00A53E6A" w:rsidRDefault="00487DA6" w:rsidP="00EF6233">
            <w:pPr>
              <w:jc w:val="center"/>
            </w:pPr>
            <w:r w:rsidRPr="00A53E6A">
              <w:t>7.</w:t>
            </w:r>
          </w:p>
        </w:tc>
        <w:tc>
          <w:tcPr>
            <w:tcW w:w="3658" w:type="pct"/>
            <w:gridSpan w:val="8"/>
          </w:tcPr>
          <w:p w:rsidR="00487DA6" w:rsidRPr="00AC3F20" w:rsidRDefault="00487DA6" w:rsidP="0033672F">
            <w:pPr>
              <w:pStyle w:val="Heading3"/>
              <w:spacing w:before="0"/>
              <w:jc w:val="both"/>
              <w:rPr>
                <w:rFonts w:ascii="Times New Roman" w:hAnsi="Times New Roman"/>
                <w:b w:val="0"/>
                <w:sz w:val="20"/>
                <w:szCs w:val="20"/>
              </w:rPr>
            </w:pPr>
            <w:r w:rsidRPr="00AC3F20">
              <w:rPr>
                <w:rFonts w:ascii="Times New Roman" w:hAnsi="Times New Roman"/>
                <w:sz w:val="20"/>
                <w:szCs w:val="20"/>
                <w:lang w:val="sr-Latn-CS"/>
              </w:rPr>
              <w:t>Todorović N</w:t>
            </w:r>
            <w:r w:rsidRPr="00AC3F20">
              <w:rPr>
                <w:rFonts w:ascii="Times New Roman" w:hAnsi="Times New Roman"/>
                <w:b w:val="0"/>
                <w:sz w:val="20"/>
                <w:szCs w:val="20"/>
                <w:lang w:val="sr-Latn-CS"/>
              </w:rPr>
              <w:t>, Panić JČ, Pavlić B, Popović S, Ristić I, Rakić S, Rajšić I, Vukmirović S, Čonić BS, Milijašević B, Milošević N. Supercritical fluid technology as a strategy for nifedipine solid dispersions formulation: In vitro and in vivo evaluation. Int J Pharm. 2024;649:123634.</w:t>
            </w:r>
          </w:p>
        </w:tc>
        <w:tc>
          <w:tcPr>
            <w:tcW w:w="321" w:type="pct"/>
            <w:vAlign w:val="center"/>
          </w:tcPr>
          <w:p w:rsidR="00487DA6" w:rsidRPr="00AC3F20" w:rsidRDefault="00487DA6" w:rsidP="0033672F">
            <w:pPr>
              <w:jc w:val="center"/>
            </w:pPr>
          </w:p>
        </w:tc>
        <w:tc>
          <w:tcPr>
            <w:tcW w:w="385" w:type="pct"/>
            <w:gridSpan w:val="2"/>
            <w:vAlign w:val="center"/>
          </w:tcPr>
          <w:p w:rsidR="00487DA6" w:rsidRPr="00AC3F20" w:rsidRDefault="00487DA6" w:rsidP="0033672F">
            <w:pPr>
              <w:jc w:val="center"/>
            </w:pPr>
            <w:r w:rsidRPr="00AC3F20">
              <w:t>21a</w:t>
            </w:r>
          </w:p>
        </w:tc>
        <w:tc>
          <w:tcPr>
            <w:tcW w:w="385" w:type="pct"/>
            <w:vAlign w:val="center"/>
          </w:tcPr>
          <w:p w:rsidR="00487DA6" w:rsidRPr="00AC3F20" w:rsidRDefault="00487DA6" w:rsidP="0033672F">
            <w:pPr>
              <w:jc w:val="center"/>
            </w:pPr>
            <w:r w:rsidRPr="00AC3F20">
              <w:t>5.7</w:t>
            </w:r>
          </w:p>
        </w:tc>
      </w:tr>
      <w:tr w:rsidR="00487DA6" w:rsidRPr="006E7435" w:rsidTr="002F24D3">
        <w:trPr>
          <w:trHeight w:val="227"/>
          <w:jc w:val="center"/>
        </w:trPr>
        <w:tc>
          <w:tcPr>
            <w:tcW w:w="251" w:type="pct"/>
            <w:vAlign w:val="center"/>
          </w:tcPr>
          <w:p w:rsidR="00487DA6" w:rsidRPr="00A53E6A" w:rsidRDefault="00487DA6" w:rsidP="00EF6233">
            <w:pPr>
              <w:jc w:val="center"/>
            </w:pPr>
            <w:r w:rsidRPr="00A53E6A">
              <w:lastRenderedPageBreak/>
              <w:t>8.</w:t>
            </w:r>
          </w:p>
        </w:tc>
        <w:tc>
          <w:tcPr>
            <w:tcW w:w="3658" w:type="pct"/>
            <w:gridSpan w:val="8"/>
          </w:tcPr>
          <w:p w:rsidR="00487DA6" w:rsidRPr="00AC3F20" w:rsidRDefault="00487DA6" w:rsidP="00EF6233">
            <w:pPr>
              <w:pStyle w:val="Heading3"/>
              <w:spacing w:before="0"/>
              <w:jc w:val="both"/>
              <w:rPr>
                <w:rFonts w:ascii="Times New Roman" w:hAnsi="Times New Roman"/>
                <w:b w:val="0"/>
                <w:sz w:val="20"/>
                <w:szCs w:val="20"/>
              </w:rPr>
            </w:pPr>
            <w:r w:rsidRPr="00AC3F20">
              <w:rPr>
                <w:rFonts w:ascii="Times New Roman" w:hAnsi="Times New Roman"/>
                <w:b w:val="0"/>
                <w:sz w:val="20"/>
                <w:szCs w:val="20"/>
                <w:lang w:val="sr-Latn-CS"/>
              </w:rPr>
              <w:t xml:space="preserve">Kovačević Z, Mugoša S, Lalić-Popović M, Stojanović S, Tešin N, Marić D, </w:t>
            </w:r>
            <w:r w:rsidRPr="00AC3F20">
              <w:rPr>
                <w:rFonts w:ascii="Times New Roman" w:hAnsi="Times New Roman"/>
                <w:sz w:val="20"/>
                <w:szCs w:val="20"/>
                <w:lang w:val="sr-Latn-CS"/>
              </w:rPr>
              <w:t>Todorović N</w:t>
            </w:r>
            <w:r w:rsidRPr="00AC3F20">
              <w:rPr>
                <w:rFonts w:ascii="Times New Roman" w:hAnsi="Times New Roman"/>
                <w:b w:val="0"/>
                <w:sz w:val="20"/>
                <w:szCs w:val="20"/>
                <w:lang w:val="sr-Latn-CS"/>
              </w:rPr>
              <w:t>, Božić F. Veterinary compounding: the impact of different gelling agents on the rheological characteristics and release kinetics from meloxicam oral gels in the treatment of cats. Vet Arh. 2023;93(6):695-708.</w:t>
            </w:r>
          </w:p>
        </w:tc>
        <w:tc>
          <w:tcPr>
            <w:tcW w:w="321" w:type="pct"/>
            <w:vAlign w:val="center"/>
          </w:tcPr>
          <w:p w:rsidR="00487DA6" w:rsidRPr="00AC3F20" w:rsidRDefault="00487DA6" w:rsidP="00EF6233">
            <w:pPr>
              <w:jc w:val="center"/>
            </w:pPr>
          </w:p>
        </w:tc>
        <w:tc>
          <w:tcPr>
            <w:tcW w:w="385" w:type="pct"/>
            <w:gridSpan w:val="2"/>
            <w:vAlign w:val="center"/>
          </w:tcPr>
          <w:p w:rsidR="00487DA6" w:rsidRPr="00AC3F20" w:rsidRDefault="00487DA6" w:rsidP="00EF6233">
            <w:pPr>
              <w:jc w:val="center"/>
            </w:pPr>
            <w:r w:rsidRPr="00AC3F20">
              <w:t>23</w:t>
            </w:r>
          </w:p>
        </w:tc>
        <w:tc>
          <w:tcPr>
            <w:tcW w:w="385" w:type="pct"/>
            <w:vAlign w:val="center"/>
          </w:tcPr>
          <w:p w:rsidR="00487DA6" w:rsidRPr="00AC3F20" w:rsidRDefault="00487DA6" w:rsidP="00EF6233">
            <w:pPr>
              <w:jc w:val="center"/>
            </w:pPr>
            <w:r w:rsidRPr="00AC3F20">
              <w:t>0.5</w:t>
            </w:r>
          </w:p>
        </w:tc>
      </w:tr>
      <w:tr w:rsidR="00487DA6" w:rsidRPr="006E7435" w:rsidTr="002F24D3">
        <w:trPr>
          <w:trHeight w:val="227"/>
          <w:jc w:val="center"/>
        </w:trPr>
        <w:tc>
          <w:tcPr>
            <w:tcW w:w="251" w:type="pct"/>
            <w:vAlign w:val="center"/>
          </w:tcPr>
          <w:p w:rsidR="00487DA6" w:rsidRPr="00A53E6A" w:rsidRDefault="00487DA6" w:rsidP="00EF6233">
            <w:pPr>
              <w:jc w:val="center"/>
            </w:pPr>
            <w:r w:rsidRPr="00A53E6A">
              <w:t>9.</w:t>
            </w:r>
          </w:p>
        </w:tc>
        <w:tc>
          <w:tcPr>
            <w:tcW w:w="3658" w:type="pct"/>
            <w:gridSpan w:val="8"/>
          </w:tcPr>
          <w:p w:rsidR="00487DA6" w:rsidRPr="00AC3F20" w:rsidRDefault="00487DA6" w:rsidP="0033672F">
            <w:pPr>
              <w:pStyle w:val="Heading3"/>
              <w:spacing w:before="0"/>
              <w:jc w:val="both"/>
              <w:rPr>
                <w:rFonts w:ascii="Times New Roman" w:hAnsi="Times New Roman"/>
                <w:b w:val="0"/>
                <w:sz w:val="20"/>
                <w:szCs w:val="20"/>
              </w:rPr>
            </w:pPr>
            <w:r w:rsidRPr="00AC3F20">
              <w:rPr>
                <w:rFonts w:ascii="Times New Roman" w:hAnsi="Times New Roman"/>
                <w:b w:val="0"/>
                <w:sz w:val="20"/>
                <w:szCs w:val="20"/>
                <w:lang w:val="sr-Latn-CS"/>
              </w:rPr>
              <w:t xml:space="preserve">Panić JČ, </w:t>
            </w:r>
            <w:r w:rsidRPr="00AC3F20">
              <w:rPr>
                <w:rFonts w:ascii="Times New Roman" w:hAnsi="Times New Roman"/>
                <w:sz w:val="20"/>
                <w:szCs w:val="20"/>
                <w:lang w:val="sr-Latn-CS"/>
              </w:rPr>
              <w:t>Todorović N</w:t>
            </w:r>
            <w:r w:rsidRPr="00AC3F20">
              <w:rPr>
                <w:rFonts w:ascii="Times New Roman" w:hAnsi="Times New Roman"/>
                <w:b w:val="0"/>
                <w:sz w:val="20"/>
                <w:szCs w:val="20"/>
                <w:lang w:val="sr-Latn-CS"/>
              </w:rPr>
              <w:t>, Jonaš K, Stjepanović A, Švonja-Parezanović G, Vuković M, Lalić-Popović M. Influence of Storage Conditions on the Pantoprazole Dissolution Profile for Gastro-Resistant Tablet Formulations. Dissolution Technol. 2023;30(2):GC1-1</w:t>
            </w:r>
            <w:r w:rsidR="006D27FA">
              <w:rPr>
                <w:rFonts w:ascii="Times New Roman" w:hAnsi="Times New Roman"/>
                <w:b w:val="0"/>
                <w:sz w:val="20"/>
                <w:szCs w:val="20"/>
                <w:lang w:val="sr-Latn-CS"/>
              </w:rPr>
              <w:t>-11</w:t>
            </w:r>
            <w:r w:rsidRPr="00AC3F20">
              <w:rPr>
                <w:rFonts w:ascii="Times New Roman" w:hAnsi="Times New Roman"/>
                <w:b w:val="0"/>
                <w:sz w:val="20"/>
                <w:szCs w:val="20"/>
                <w:lang w:val="sr-Latn-CS"/>
              </w:rPr>
              <w:t>.</w:t>
            </w:r>
          </w:p>
        </w:tc>
        <w:tc>
          <w:tcPr>
            <w:tcW w:w="321" w:type="pct"/>
            <w:vAlign w:val="center"/>
          </w:tcPr>
          <w:p w:rsidR="00487DA6" w:rsidRPr="00AC3F20" w:rsidRDefault="00487DA6" w:rsidP="0033672F">
            <w:pPr>
              <w:jc w:val="center"/>
            </w:pPr>
          </w:p>
        </w:tc>
        <w:tc>
          <w:tcPr>
            <w:tcW w:w="385" w:type="pct"/>
            <w:gridSpan w:val="2"/>
            <w:vAlign w:val="center"/>
          </w:tcPr>
          <w:p w:rsidR="00487DA6" w:rsidRPr="00AC3F20" w:rsidRDefault="00487DA6" w:rsidP="0033672F">
            <w:pPr>
              <w:jc w:val="center"/>
            </w:pPr>
            <w:r w:rsidRPr="00AC3F20">
              <w:t>23</w:t>
            </w:r>
          </w:p>
        </w:tc>
        <w:tc>
          <w:tcPr>
            <w:tcW w:w="385" w:type="pct"/>
            <w:vAlign w:val="center"/>
          </w:tcPr>
          <w:p w:rsidR="00487DA6" w:rsidRPr="00AC3F20" w:rsidRDefault="00487DA6" w:rsidP="0033672F">
            <w:pPr>
              <w:jc w:val="center"/>
            </w:pPr>
            <w:r w:rsidRPr="00AC3F20">
              <w:t>1.0</w:t>
            </w:r>
          </w:p>
        </w:tc>
      </w:tr>
      <w:tr w:rsidR="00487DA6" w:rsidRPr="006E7435" w:rsidTr="002F24D3">
        <w:trPr>
          <w:trHeight w:val="227"/>
          <w:jc w:val="center"/>
        </w:trPr>
        <w:tc>
          <w:tcPr>
            <w:tcW w:w="251" w:type="pct"/>
            <w:vAlign w:val="center"/>
          </w:tcPr>
          <w:p w:rsidR="00487DA6" w:rsidRPr="00A53E6A" w:rsidRDefault="00487DA6" w:rsidP="00487DA6">
            <w:pPr>
              <w:jc w:val="center"/>
            </w:pPr>
            <w:r w:rsidRPr="00A53E6A">
              <w:t>1</w:t>
            </w:r>
            <w:r>
              <w:t>0</w:t>
            </w:r>
            <w:r w:rsidRPr="00A53E6A">
              <w:t>.</w:t>
            </w:r>
          </w:p>
        </w:tc>
        <w:tc>
          <w:tcPr>
            <w:tcW w:w="3658" w:type="pct"/>
            <w:gridSpan w:val="8"/>
          </w:tcPr>
          <w:p w:rsidR="00487DA6" w:rsidRPr="00AC3F20" w:rsidRDefault="00487DA6" w:rsidP="00EF6233">
            <w:pPr>
              <w:pStyle w:val="Heading3"/>
              <w:spacing w:before="0"/>
              <w:jc w:val="both"/>
              <w:rPr>
                <w:rFonts w:ascii="Times New Roman" w:hAnsi="Times New Roman"/>
                <w:b w:val="0"/>
                <w:sz w:val="20"/>
                <w:szCs w:val="20"/>
              </w:rPr>
            </w:pPr>
            <w:r w:rsidRPr="00AC3F20">
              <w:rPr>
                <w:rFonts w:ascii="Times New Roman" w:hAnsi="Times New Roman"/>
                <w:b w:val="0"/>
                <w:sz w:val="20"/>
                <w:szCs w:val="20"/>
                <w:lang w:val="sr-Latn-CS"/>
              </w:rPr>
              <w:t xml:space="preserve">Lalić-Popović MN, Vuković MM, Jovičić-Bata JN, Čanji-Panić JM, </w:t>
            </w:r>
            <w:r w:rsidRPr="00AC3F20">
              <w:rPr>
                <w:rFonts w:ascii="Times New Roman" w:hAnsi="Times New Roman"/>
                <w:sz w:val="20"/>
                <w:szCs w:val="20"/>
                <w:lang w:val="sr-Latn-CS"/>
              </w:rPr>
              <w:t>Todorović NB</w:t>
            </w:r>
            <w:r w:rsidRPr="00AC3F20">
              <w:rPr>
                <w:rFonts w:ascii="Times New Roman" w:hAnsi="Times New Roman"/>
                <w:b w:val="0"/>
                <w:sz w:val="20"/>
                <w:szCs w:val="20"/>
                <w:lang w:val="sr-Latn-CS"/>
              </w:rPr>
              <w:t>. Comparison of formulation characteristics of drugs and dietary supplements containing alpha-lipoic acid relevant to therapeutic efficacy. Eur Rev Med Pharmacol Sci. 2023;27(7)</w:t>
            </w:r>
            <w:r w:rsidR="006D27FA">
              <w:rPr>
                <w:rFonts w:ascii="Times New Roman" w:hAnsi="Times New Roman"/>
                <w:b w:val="0"/>
                <w:sz w:val="20"/>
                <w:szCs w:val="20"/>
                <w:lang w:val="sr-Latn-CS"/>
              </w:rPr>
              <w:t>:3159-</w:t>
            </w:r>
            <w:r w:rsidR="006D27FA" w:rsidRPr="00373648">
              <w:rPr>
                <w:rFonts w:ascii="Times New Roman" w:hAnsi="Times New Roman"/>
                <w:b w:val="0"/>
                <w:sz w:val="20"/>
                <w:szCs w:val="20"/>
                <w:lang w:val="sr-Latn-CS"/>
              </w:rPr>
              <w:t>70</w:t>
            </w:r>
            <w:r w:rsidRPr="00AC3F20">
              <w:rPr>
                <w:rFonts w:ascii="Times New Roman" w:hAnsi="Times New Roman"/>
                <w:b w:val="0"/>
                <w:sz w:val="20"/>
                <w:szCs w:val="20"/>
                <w:lang w:val="sr-Latn-CS"/>
              </w:rPr>
              <w:t>.</w:t>
            </w:r>
          </w:p>
        </w:tc>
        <w:tc>
          <w:tcPr>
            <w:tcW w:w="321" w:type="pct"/>
            <w:vAlign w:val="center"/>
          </w:tcPr>
          <w:p w:rsidR="00487DA6" w:rsidRPr="00AC3F20" w:rsidRDefault="00487DA6" w:rsidP="00EF6233">
            <w:pPr>
              <w:jc w:val="center"/>
            </w:pPr>
          </w:p>
        </w:tc>
        <w:tc>
          <w:tcPr>
            <w:tcW w:w="385" w:type="pct"/>
            <w:gridSpan w:val="2"/>
            <w:vAlign w:val="center"/>
          </w:tcPr>
          <w:p w:rsidR="00487DA6" w:rsidRPr="00AC3F20" w:rsidRDefault="00487DA6" w:rsidP="00EF6233">
            <w:pPr>
              <w:jc w:val="center"/>
            </w:pPr>
            <w:r w:rsidRPr="00AC3F20">
              <w:t>21 (2022)</w:t>
            </w:r>
          </w:p>
        </w:tc>
        <w:tc>
          <w:tcPr>
            <w:tcW w:w="385" w:type="pct"/>
            <w:vAlign w:val="center"/>
          </w:tcPr>
          <w:p w:rsidR="00487DA6" w:rsidRPr="00AC3F20" w:rsidRDefault="00487DA6" w:rsidP="00EF6233">
            <w:pPr>
              <w:jc w:val="center"/>
            </w:pPr>
            <w:r w:rsidRPr="00AC3F20">
              <w:t>3.3 (2022)</w:t>
            </w:r>
          </w:p>
        </w:tc>
      </w:tr>
      <w:tr w:rsidR="00487DA6" w:rsidRPr="006E7435" w:rsidTr="002F24D3">
        <w:trPr>
          <w:trHeight w:val="227"/>
          <w:jc w:val="center"/>
        </w:trPr>
        <w:tc>
          <w:tcPr>
            <w:tcW w:w="251" w:type="pct"/>
            <w:vAlign w:val="center"/>
          </w:tcPr>
          <w:p w:rsidR="00487DA6" w:rsidRPr="00A53E6A" w:rsidRDefault="00487DA6" w:rsidP="00487DA6">
            <w:pPr>
              <w:jc w:val="center"/>
            </w:pPr>
            <w:r w:rsidRPr="00A53E6A">
              <w:t>1</w:t>
            </w:r>
            <w:r>
              <w:t>1</w:t>
            </w:r>
            <w:r w:rsidRPr="00A53E6A">
              <w:t>.</w:t>
            </w:r>
          </w:p>
        </w:tc>
        <w:tc>
          <w:tcPr>
            <w:tcW w:w="3658" w:type="pct"/>
            <w:gridSpan w:val="8"/>
          </w:tcPr>
          <w:p w:rsidR="00487DA6" w:rsidRPr="00AC3F20" w:rsidRDefault="00487DA6" w:rsidP="0033672F">
            <w:pPr>
              <w:pStyle w:val="Heading3"/>
              <w:spacing w:before="0"/>
              <w:jc w:val="both"/>
              <w:rPr>
                <w:rFonts w:ascii="Times New Roman" w:hAnsi="Times New Roman"/>
                <w:b w:val="0"/>
                <w:sz w:val="20"/>
                <w:szCs w:val="20"/>
              </w:rPr>
            </w:pPr>
            <w:r w:rsidRPr="00AC3F20">
              <w:rPr>
                <w:rFonts w:ascii="Times New Roman" w:hAnsi="Times New Roman"/>
                <w:sz w:val="20"/>
                <w:szCs w:val="20"/>
                <w:lang w:val="sr-Latn-CS"/>
              </w:rPr>
              <w:t>Todorović N</w:t>
            </w:r>
            <w:r w:rsidRPr="00AC3F20">
              <w:rPr>
                <w:rFonts w:ascii="Times New Roman" w:hAnsi="Times New Roman"/>
                <w:b w:val="0"/>
                <w:sz w:val="20"/>
                <w:szCs w:val="20"/>
                <w:lang w:val="sr-Latn-CS"/>
              </w:rPr>
              <w:t>, Čanji Panić J, Zavišić M, Krtolica J, Ratajac R, Petrović J, Bosiljčić D, Kladar N, Milošević N, Lalić-Popović M. Compounding of Liquid and Solid Dose Adjustable Formulations with Pantoprazole: Comparison of Stability, Applicability and Suitability. Pharmaceutics. 2023;15(3):717.</w:t>
            </w:r>
          </w:p>
        </w:tc>
        <w:tc>
          <w:tcPr>
            <w:tcW w:w="321" w:type="pct"/>
            <w:vAlign w:val="center"/>
          </w:tcPr>
          <w:p w:rsidR="00487DA6" w:rsidRPr="00AC3F20" w:rsidRDefault="00487DA6" w:rsidP="0033672F">
            <w:pPr>
              <w:jc w:val="center"/>
            </w:pPr>
          </w:p>
        </w:tc>
        <w:tc>
          <w:tcPr>
            <w:tcW w:w="385" w:type="pct"/>
            <w:gridSpan w:val="2"/>
            <w:vAlign w:val="center"/>
          </w:tcPr>
          <w:p w:rsidR="00487DA6" w:rsidRPr="00AC3F20" w:rsidRDefault="00487DA6" w:rsidP="0033672F">
            <w:pPr>
              <w:jc w:val="center"/>
            </w:pPr>
            <w:r w:rsidRPr="00AC3F20">
              <w:t>21a</w:t>
            </w:r>
          </w:p>
        </w:tc>
        <w:tc>
          <w:tcPr>
            <w:tcW w:w="385" w:type="pct"/>
            <w:vAlign w:val="center"/>
          </w:tcPr>
          <w:p w:rsidR="00487DA6" w:rsidRPr="00AC3F20" w:rsidRDefault="00487DA6" w:rsidP="0033672F">
            <w:pPr>
              <w:jc w:val="center"/>
            </w:pPr>
            <w:r w:rsidRPr="00AC3F20">
              <w:t>5.5</w:t>
            </w:r>
          </w:p>
        </w:tc>
      </w:tr>
      <w:tr w:rsidR="00487DA6" w:rsidRPr="006E7435" w:rsidTr="002F24D3">
        <w:trPr>
          <w:trHeight w:val="227"/>
          <w:jc w:val="center"/>
        </w:trPr>
        <w:tc>
          <w:tcPr>
            <w:tcW w:w="251" w:type="pct"/>
            <w:vAlign w:val="center"/>
          </w:tcPr>
          <w:p w:rsidR="00487DA6" w:rsidRPr="00A53E6A" w:rsidRDefault="00487DA6" w:rsidP="00487DA6">
            <w:pPr>
              <w:jc w:val="center"/>
            </w:pPr>
            <w:r w:rsidRPr="00A53E6A">
              <w:t>1</w:t>
            </w:r>
            <w:r>
              <w:t>2</w:t>
            </w:r>
            <w:r w:rsidRPr="00A53E6A">
              <w:t>.</w:t>
            </w:r>
          </w:p>
        </w:tc>
        <w:tc>
          <w:tcPr>
            <w:tcW w:w="3658" w:type="pct"/>
            <w:gridSpan w:val="8"/>
          </w:tcPr>
          <w:p w:rsidR="00487DA6" w:rsidRPr="00AC3F20" w:rsidRDefault="00487DA6" w:rsidP="0033672F">
            <w:pPr>
              <w:pStyle w:val="Heading3"/>
              <w:spacing w:before="0"/>
              <w:jc w:val="both"/>
              <w:rPr>
                <w:rFonts w:ascii="Times New Roman" w:hAnsi="Times New Roman"/>
                <w:b w:val="0"/>
                <w:sz w:val="20"/>
                <w:szCs w:val="20"/>
              </w:rPr>
            </w:pPr>
            <w:r w:rsidRPr="00AC3F20">
              <w:rPr>
                <w:rFonts w:ascii="Times New Roman" w:hAnsi="Times New Roman"/>
                <w:b w:val="0"/>
                <w:sz w:val="20"/>
                <w:szCs w:val="20"/>
                <w:lang w:val="sr-Latn-CS"/>
              </w:rPr>
              <w:t xml:space="preserve">Bajić D, Matijašević J, Andrijević L, Zarić B, Lalić-Popović M, Andrijević I, </w:t>
            </w:r>
            <w:r w:rsidRPr="00AC3F20">
              <w:rPr>
                <w:rFonts w:ascii="Times New Roman" w:hAnsi="Times New Roman"/>
                <w:sz w:val="20"/>
                <w:szCs w:val="20"/>
                <w:lang w:val="sr-Latn-CS"/>
              </w:rPr>
              <w:t>Todorović N</w:t>
            </w:r>
            <w:r w:rsidRPr="00AC3F20">
              <w:rPr>
                <w:rFonts w:ascii="Times New Roman" w:hAnsi="Times New Roman"/>
                <w:b w:val="0"/>
                <w:sz w:val="20"/>
                <w:szCs w:val="20"/>
                <w:lang w:val="sr-Latn-CS"/>
              </w:rPr>
              <w:t>, Mihajlović A, Tapavički B, Ostojić J. Prognostic role of monocyte distribution width, CRP, procalcitonin and lactate as sepsis biomarkers in critically ill COVID-19 patients. J Clin Med. 2023;12(3):1197.</w:t>
            </w:r>
          </w:p>
        </w:tc>
        <w:tc>
          <w:tcPr>
            <w:tcW w:w="321" w:type="pct"/>
            <w:vAlign w:val="center"/>
          </w:tcPr>
          <w:p w:rsidR="00487DA6" w:rsidRPr="00AC3F20" w:rsidRDefault="00487DA6" w:rsidP="0033672F">
            <w:pPr>
              <w:jc w:val="center"/>
            </w:pPr>
          </w:p>
        </w:tc>
        <w:tc>
          <w:tcPr>
            <w:tcW w:w="385" w:type="pct"/>
            <w:gridSpan w:val="2"/>
            <w:vAlign w:val="center"/>
          </w:tcPr>
          <w:p w:rsidR="00487DA6" w:rsidRPr="00AC3F20" w:rsidRDefault="00487DA6" w:rsidP="0033672F">
            <w:pPr>
              <w:jc w:val="center"/>
            </w:pPr>
            <w:r w:rsidRPr="00AC3F20">
              <w:t>21a (2021)</w:t>
            </w:r>
          </w:p>
        </w:tc>
        <w:tc>
          <w:tcPr>
            <w:tcW w:w="385" w:type="pct"/>
            <w:vAlign w:val="center"/>
          </w:tcPr>
          <w:p w:rsidR="00487DA6" w:rsidRPr="00AC3F20" w:rsidRDefault="00487DA6" w:rsidP="0033672F">
            <w:pPr>
              <w:jc w:val="center"/>
            </w:pPr>
            <w:r w:rsidRPr="00AC3F20">
              <w:t>5.098 (2021)</w:t>
            </w:r>
          </w:p>
        </w:tc>
      </w:tr>
      <w:tr w:rsidR="00487DA6" w:rsidRPr="006E7435" w:rsidTr="002F24D3">
        <w:trPr>
          <w:trHeight w:val="227"/>
          <w:jc w:val="center"/>
        </w:trPr>
        <w:tc>
          <w:tcPr>
            <w:tcW w:w="251" w:type="pct"/>
            <w:vAlign w:val="center"/>
          </w:tcPr>
          <w:p w:rsidR="00487DA6" w:rsidRPr="00A53E6A" w:rsidRDefault="00487DA6" w:rsidP="00487DA6">
            <w:pPr>
              <w:jc w:val="center"/>
            </w:pPr>
            <w:r w:rsidRPr="00A53E6A">
              <w:t>1</w:t>
            </w:r>
            <w:r>
              <w:t>3</w:t>
            </w:r>
            <w:r w:rsidRPr="00A53E6A">
              <w:t>.</w:t>
            </w:r>
          </w:p>
        </w:tc>
        <w:tc>
          <w:tcPr>
            <w:tcW w:w="3658" w:type="pct"/>
            <w:gridSpan w:val="8"/>
          </w:tcPr>
          <w:p w:rsidR="00487DA6" w:rsidRPr="00AC3F20" w:rsidRDefault="00487DA6" w:rsidP="00EF6233">
            <w:pPr>
              <w:pStyle w:val="Heading3"/>
              <w:spacing w:before="0"/>
              <w:jc w:val="both"/>
              <w:rPr>
                <w:rFonts w:ascii="Times New Roman" w:hAnsi="Times New Roman"/>
                <w:b w:val="0"/>
                <w:sz w:val="20"/>
                <w:szCs w:val="20"/>
              </w:rPr>
            </w:pPr>
            <w:r w:rsidRPr="00AC3F20">
              <w:rPr>
                <w:rFonts w:ascii="Times New Roman" w:hAnsi="Times New Roman"/>
                <w:b w:val="0"/>
                <w:sz w:val="20"/>
                <w:szCs w:val="20"/>
                <w:lang w:val="sr-Latn-CS"/>
              </w:rPr>
              <w:t xml:space="preserve">Vidović D, Milošević N, Pavlović N, </w:t>
            </w:r>
            <w:r w:rsidRPr="00AC3F20">
              <w:rPr>
                <w:rFonts w:ascii="Times New Roman" w:hAnsi="Times New Roman"/>
                <w:sz w:val="20"/>
                <w:szCs w:val="20"/>
                <w:lang w:val="sr-Latn-CS"/>
              </w:rPr>
              <w:t>Todorović N</w:t>
            </w:r>
            <w:r w:rsidRPr="00AC3F20">
              <w:rPr>
                <w:rFonts w:ascii="Times New Roman" w:hAnsi="Times New Roman"/>
                <w:b w:val="0"/>
                <w:sz w:val="20"/>
                <w:szCs w:val="20"/>
                <w:lang w:val="sr-Latn-CS"/>
              </w:rPr>
              <w:t>, Panić JČ, Kovačević S, Banjac MK, Podunavac-Kuzmanović S, Banjac N, Trišović N, Božić B. Predicting percutaneous permeation for new succinimide derivatives by in vitro and in silico models. J Mol Struct. 2023;1274:134516.</w:t>
            </w:r>
          </w:p>
        </w:tc>
        <w:tc>
          <w:tcPr>
            <w:tcW w:w="321" w:type="pct"/>
            <w:vAlign w:val="center"/>
          </w:tcPr>
          <w:p w:rsidR="00487DA6" w:rsidRPr="00AC3F20" w:rsidRDefault="00487DA6" w:rsidP="00EF6233">
            <w:pPr>
              <w:jc w:val="center"/>
            </w:pPr>
          </w:p>
        </w:tc>
        <w:tc>
          <w:tcPr>
            <w:tcW w:w="385" w:type="pct"/>
            <w:gridSpan w:val="2"/>
            <w:vAlign w:val="center"/>
          </w:tcPr>
          <w:p w:rsidR="00487DA6" w:rsidRPr="00AC3F20" w:rsidRDefault="00487DA6" w:rsidP="00EF6233">
            <w:pPr>
              <w:jc w:val="center"/>
            </w:pPr>
            <w:r w:rsidRPr="00AC3F20">
              <w:t>22</w:t>
            </w:r>
          </w:p>
        </w:tc>
        <w:tc>
          <w:tcPr>
            <w:tcW w:w="385" w:type="pct"/>
            <w:vAlign w:val="center"/>
          </w:tcPr>
          <w:p w:rsidR="00487DA6" w:rsidRPr="00AC3F20" w:rsidRDefault="00487DA6" w:rsidP="00EF6233">
            <w:pPr>
              <w:jc w:val="center"/>
            </w:pPr>
            <w:r w:rsidRPr="00AC3F20">
              <w:t>4.0</w:t>
            </w:r>
          </w:p>
        </w:tc>
      </w:tr>
      <w:tr w:rsidR="00487DA6" w:rsidRPr="006E7435" w:rsidTr="002F24D3">
        <w:trPr>
          <w:trHeight w:val="227"/>
          <w:jc w:val="center"/>
        </w:trPr>
        <w:tc>
          <w:tcPr>
            <w:tcW w:w="251" w:type="pct"/>
            <w:vAlign w:val="center"/>
          </w:tcPr>
          <w:p w:rsidR="00487DA6" w:rsidRPr="00A53E6A" w:rsidRDefault="00487DA6" w:rsidP="00487DA6">
            <w:pPr>
              <w:jc w:val="center"/>
            </w:pPr>
            <w:r>
              <w:t>1</w:t>
            </w:r>
            <w:r>
              <w:t>4</w:t>
            </w:r>
            <w:r>
              <w:t>.</w:t>
            </w:r>
          </w:p>
        </w:tc>
        <w:tc>
          <w:tcPr>
            <w:tcW w:w="3658" w:type="pct"/>
            <w:gridSpan w:val="8"/>
          </w:tcPr>
          <w:p w:rsidR="00487DA6" w:rsidRPr="00AC3F20" w:rsidRDefault="00487DA6" w:rsidP="00EF6233">
            <w:pPr>
              <w:pStyle w:val="Heading3"/>
              <w:spacing w:before="0"/>
              <w:jc w:val="both"/>
              <w:rPr>
                <w:rFonts w:ascii="Times New Roman" w:hAnsi="Times New Roman"/>
                <w:b w:val="0"/>
                <w:sz w:val="20"/>
                <w:szCs w:val="20"/>
              </w:rPr>
            </w:pPr>
            <w:r w:rsidRPr="00AC3F20">
              <w:rPr>
                <w:rFonts w:ascii="Times New Roman" w:hAnsi="Times New Roman"/>
                <w:b w:val="0"/>
                <w:sz w:val="20"/>
                <w:szCs w:val="20"/>
                <w:lang w:val="sr-Latn-CS"/>
              </w:rPr>
              <w:t xml:space="preserve">Lalić-Popović M, Švonja Parezanović G, </w:t>
            </w:r>
            <w:r w:rsidRPr="00AC3F20">
              <w:rPr>
                <w:rFonts w:ascii="Times New Roman" w:hAnsi="Times New Roman"/>
                <w:sz w:val="20"/>
                <w:szCs w:val="20"/>
                <w:lang w:val="sr-Latn-CS"/>
              </w:rPr>
              <w:t>Todorović N</w:t>
            </w:r>
            <w:r w:rsidRPr="00AC3F20">
              <w:rPr>
                <w:rFonts w:ascii="Times New Roman" w:hAnsi="Times New Roman"/>
                <w:b w:val="0"/>
                <w:sz w:val="20"/>
                <w:szCs w:val="20"/>
                <w:lang w:val="sr-Latn-CS"/>
              </w:rPr>
              <w:t>, Zeković Z, Pavlić B, Milošević N, Čanji Panić J, Stjepanović A, Andrijević L. The effect of humidity on the dissolution kinetics and tablet properties of immediate-release tablet formulation containing lamotrigine. Pharmaceutics. 2022;14(10):2096.</w:t>
            </w:r>
          </w:p>
        </w:tc>
        <w:tc>
          <w:tcPr>
            <w:tcW w:w="321" w:type="pct"/>
            <w:vAlign w:val="center"/>
          </w:tcPr>
          <w:p w:rsidR="00487DA6" w:rsidRPr="00AC3F20" w:rsidRDefault="00487DA6" w:rsidP="00EF6233">
            <w:pPr>
              <w:jc w:val="center"/>
            </w:pPr>
          </w:p>
        </w:tc>
        <w:tc>
          <w:tcPr>
            <w:tcW w:w="385" w:type="pct"/>
            <w:gridSpan w:val="2"/>
            <w:vAlign w:val="center"/>
          </w:tcPr>
          <w:p w:rsidR="00487DA6" w:rsidRPr="00AC3F20" w:rsidRDefault="00487DA6" w:rsidP="00EF6233">
            <w:pPr>
              <w:jc w:val="center"/>
            </w:pPr>
            <w:r w:rsidRPr="00AC3F20">
              <w:t>21a</w:t>
            </w:r>
          </w:p>
        </w:tc>
        <w:tc>
          <w:tcPr>
            <w:tcW w:w="385" w:type="pct"/>
            <w:vAlign w:val="center"/>
          </w:tcPr>
          <w:p w:rsidR="00487DA6" w:rsidRPr="00AC3F20" w:rsidRDefault="00487DA6" w:rsidP="00EF6233">
            <w:pPr>
              <w:jc w:val="center"/>
            </w:pPr>
            <w:r w:rsidRPr="00AC3F20">
              <w:t>6.0</w:t>
            </w:r>
          </w:p>
        </w:tc>
      </w:tr>
      <w:tr w:rsidR="00487DA6" w:rsidRPr="006E7435" w:rsidTr="002F24D3">
        <w:trPr>
          <w:trHeight w:val="227"/>
          <w:jc w:val="center"/>
        </w:trPr>
        <w:tc>
          <w:tcPr>
            <w:tcW w:w="251" w:type="pct"/>
            <w:vAlign w:val="center"/>
          </w:tcPr>
          <w:p w:rsidR="00487DA6" w:rsidRPr="00A53E6A" w:rsidRDefault="00487DA6" w:rsidP="00487DA6">
            <w:pPr>
              <w:jc w:val="center"/>
            </w:pPr>
            <w:r>
              <w:t>1</w:t>
            </w:r>
            <w:r>
              <w:t>5</w:t>
            </w:r>
            <w:r>
              <w:t>.</w:t>
            </w:r>
          </w:p>
        </w:tc>
        <w:tc>
          <w:tcPr>
            <w:tcW w:w="3658" w:type="pct"/>
            <w:gridSpan w:val="8"/>
          </w:tcPr>
          <w:p w:rsidR="00487DA6" w:rsidRPr="00AC3F20" w:rsidRDefault="00487DA6" w:rsidP="00EF6233">
            <w:pPr>
              <w:pStyle w:val="Heading3"/>
              <w:spacing w:before="0"/>
              <w:jc w:val="both"/>
              <w:rPr>
                <w:rFonts w:ascii="Times New Roman" w:hAnsi="Times New Roman"/>
                <w:b w:val="0"/>
                <w:bCs w:val="0"/>
                <w:sz w:val="20"/>
                <w:szCs w:val="20"/>
                <w:lang w:val="sr-Latn-CS"/>
              </w:rPr>
            </w:pPr>
            <w:r w:rsidRPr="00AC3F20">
              <w:rPr>
                <w:rFonts w:ascii="Times New Roman" w:hAnsi="Times New Roman"/>
                <w:b w:val="0"/>
                <w:bCs w:val="0"/>
                <w:sz w:val="20"/>
                <w:szCs w:val="20"/>
                <w:lang w:val="sr-Latn-CS"/>
              </w:rPr>
              <w:t xml:space="preserve">Stjepanovic AN, </w:t>
            </w:r>
            <w:r w:rsidRPr="00AC3F20">
              <w:rPr>
                <w:rFonts w:ascii="Times New Roman" w:hAnsi="Times New Roman"/>
                <w:bCs w:val="0"/>
                <w:sz w:val="20"/>
                <w:szCs w:val="20"/>
                <w:lang w:val="sr-Latn-CS"/>
              </w:rPr>
              <w:t>Todorovic NB</w:t>
            </w:r>
            <w:r w:rsidRPr="00AC3F20">
              <w:rPr>
                <w:rFonts w:ascii="Times New Roman" w:hAnsi="Times New Roman"/>
                <w:b w:val="0"/>
                <w:bCs w:val="0"/>
                <w:sz w:val="20"/>
                <w:szCs w:val="20"/>
                <w:lang w:val="sr-Latn-CS"/>
              </w:rPr>
              <w:t>, Tesic TZ, Komazec ZS, Canji-Panic JM, Lalic-Popovic MN. Pharmaceutical excipients with potential to cause adverse effects in paediatric nasal medicines. Regul Toxicol Pharmacol. 2022;133:105225.</w:t>
            </w:r>
          </w:p>
        </w:tc>
        <w:tc>
          <w:tcPr>
            <w:tcW w:w="321" w:type="pct"/>
            <w:vAlign w:val="center"/>
          </w:tcPr>
          <w:p w:rsidR="00487DA6" w:rsidRPr="00AC3F20" w:rsidRDefault="00487DA6" w:rsidP="00EF6233">
            <w:pPr>
              <w:jc w:val="center"/>
            </w:pPr>
          </w:p>
        </w:tc>
        <w:tc>
          <w:tcPr>
            <w:tcW w:w="385" w:type="pct"/>
            <w:gridSpan w:val="2"/>
            <w:vAlign w:val="center"/>
          </w:tcPr>
          <w:p w:rsidR="00487DA6" w:rsidRPr="00AC3F20" w:rsidRDefault="00487DA6" w:rsidP="00EF6233">
            <w:pPr>
              <w:jc w:val="center"/>
            </w:pPr>
            <w:r w:rsidRPr="00AC3F20">
              <w:t>21a+</w:t>
            </w:r>
          </w:p>
        </w:tc>
        <w:tc>
          <w:tcPr>
            <w:tcW w:w="385" w:type="pct"/>
            <w:vAlign w:val="center"/>
          </w:tcPr>
          <w:p w:rsidR="00487DA6" w:rsidRPr="00AC3F20" w:rsidRDefault="00487DA6" w:rsidP="00EF6233">
            <w:pPr>
              <w:jc w:val="center"/>
            </w:pPr>
            <w:r w:rsidRPr="00AC3F20">
              <w:t>3.4</w:t>
            </w:r>
          </w:p>
        </w:tc>
      </w:tr>
      <w:tr w:rsidR="00487DA6" w:rsidRPr="006E7435" w:rsidTr="002F24D3">
        <w:trPr>
          <w:trHeight w:val="227"/>
          <w:jc w:val="center"/>
        </w:trPr>
        <w:tc>
          <w:tcPr>
            <w:tcW w:w="251" w:type="pct"/>
            <w:vAlign w:val="center"/>
          </w:tcPr>
          <w:p w:rsidR="00487DA6" w:rsidRPr="00A53E6A" w:rsidRDefault="00487DA6" w:rsidP="0033672F">
            <w:pPr>
              <w:jc w:val="center"/>
            </w:pPr>
            <w:r>
              <w:t>16.</w:t>
            </w:r>
          </w:p>
        </w:tc>
        <w:tc>
          <w:tcPr>
            <w:tcW w:w="3658" w:type="pct"/>
            <w:gridSpan w:val="8"/>
          </w:tcPr>
          <w:p w:rsidR="00487DA6" w:rsidRPr="00AC3F20" w:rsidRDefault="00487DA6" w:rsidP="0033672F">
            <w:pPr>
              <w:pStyle w:val="Heading3"/>
              <w:spacing w:before="0"/>
              <w:jc w:val="both"/>
              <w:rPr>
                <w:rFonts w:ascii="Times New Roman" w:hAnsi="Times New Roman"/>
                <w:b w:val="0"/>
                <w:sz w:val="20"/>
                <w:szCs w:val="20"/>
              </w:rPr>
            </w:pPr>
            <w:r w:rsidRPr="00AC3F20">
              <w:rPr>
                <w:rFonts w:ascii="Times New Roman" w:hAnsi="Times New Roman"/>
                <w:b w:val="0"/>
                <w:sz w:val="20"/>
                <w:szCs w:val="20"/>
                <w:lang w:val="sr-Latn-CS"/>
              </w:rPr>
              <w:t xml:space="preserve">Vidović D, Milošević N, Pavlović N, </w:t>
            </w:r>
            <w:r w:rsidRPr="00AC3F20">
              <w:rPr>
                <w:rFonts w:ascii="Times New Roman" w:hAnsi="Times New Roman"/>
                <w:sz w:val="20"/>
                <w:szCs w:val="20"/>
                <w:lang w:val="sr-Latn-CS"/>
              </w:rPr>
              <w:t>Todorović N</w:t>
            </w:r>
            <w:r w:rsidRPr="00AC3F20">
              <w:rPr>
                <w:rFonts w:ascii="Times New Roman" w:hAnsi="Times New Roman"/>
                <w:b w:val="0"/>
                <w:sz w:val="20"/>
                <w:szCs w:val="20"/>
                <w:lang w:val="sr-Latn-CS"/>
              </w:rPr>
              <w:t>, Panić JČ, Ćurčić J, Banjac N, Trišović N, Božić B, Lalić‐Popović M. In silico–in vitro estimation of lipophilicity and permeability association for succinimide derivatives using chromatographic anisotropic systems and parallel artificial membrane permeability assay. Biomed Chromatogr. 2022;36(9):e5413.</w:t>
            </w:r>
          </w:p>
        </w:tc>
        <w:tc>
          <w:tcPr>
            <w:tcW w:w="321" w:type="pct"/>
            <w:vAlign w:val="center"/>
          </w:tcPr>
          <w:p w:rsidR="00487DA6" w:rsidRPr="00AC3F20" w:rsidRDefault="00487DA6" w:rsidP="0033672F">
            <w:pPr>
              <w:jc w:val="center"/>
            </w:pPr>
          </w:p>
        </w:tc>
        <w:tc>
          <w:tcPr>
            <w:tcW w:w="385" w:type="pct"/>
            <w:gridSpan w:val="2"/>
            <w:vAlign w:val="center"/>
          </w:tcPr>
          <w:p w:rsidR="00487DA6" w:rsidRPr="00AC3F20" w:rsidRDefault="00487DA6" w:rsidP="0033672F">
            <w:pPr>
              <w:jc w:val="center"/>
            </w:pPr>
            <w:r w:rsidRPr="00AC3F20">
              <w:t>22</w:t>
            </w:r>
          </w:p>
        </w:tc>
        <w:tc>
          <w:tcPr>
            <w:tcW w:w="385" w:type="pct"/>
            <w:vAlign w:val="center"/>
          </w:tcPr>
          <w:p w:rsidR="00487DA6" w:rsidRPr="00AC3F20" w:rsidRDefault="00487DA6" w:rsidP="0033672F">
            <w:pPr>
              <w:jc w:val="center"/>
            </w:pPr>
            <w:r w:rsidRPr="00AC3F20">
              <w:t>1.8</w:t>
            </w:r>
          </w:p>
        </w:tc>
      </w:tr>
      <w:tr w:rsidR="00487DA6" w:rsidRPr="006E7435" w:rsidTr="002F24D3">
        <w:trPr>
          <w:trHeight w:val="227"/>
          <w:jc w:val="center"/>
        </w:trPr>
        <w:tc>
          <w:tcPr>
            <w:tcW w:w="251" w:type="pct"/>
            <w:vAlign w:val="center"/>
          </w:tcPr>
          <w:p w:rsidR="00487DA6" w:rsidRPr="00A53E6A" w:rsidRDefault="00487DA6" w:rsidP="0033672F">
            <w:pPr>
              <w:jc w:val="center"/>
            </w:pPr>
            <w:r>
              <w:t>17.</w:t>
            </w:r>
          </w:p>
        </w:tc>
        <w:tc>
          <w:tcPr>
            <w:tcW w:w="3658" w:type="pct"/>
            <w:gridSpan w:val="8"/>
          </w:tcPr>
          <w:p w:rsidR="00487DA6" w:rsidRPr="00AC3F20" w:rsidRDefault="00487DA6" w:rsidP="006D144E">
            <w:pPr>
              <w:spacing w:line="276" w:lineRule="auto"/>
              <w:jc w:val="both"/>
              <w:rPr>
                <w:lang w:val="sr-Latn-BA"/>
              </w:rPr>
            </w:pPr>
            <w:r w:rsidRPr="00AC3F20">
              <w:t xml:space="preserve">Živanović D, Javorac J, Stojkov S, Jevtić M, Knežević J, Blanuša J, Grbić DŠ, Kusturica M, Lješković NJ, </w:t>
            </w:r>
            <w:r w:rsidRPr="00AC3F20">
              <w:rPr>
                <w:b/>
              </w:rPr>
              <w:t>Todorović N</w:t>
            </w:r>
            <w:r w:rsidRPr="00AC3F20">
              <w:t>. The COVID-19 pandemic</w:t>
            </w:r>
            <w:r w:rsidRPr="00AC3F20">
              <w:t xml:space="preserve"> </w:t>
            </w:r>
            <w:r w:rsidRPr="00AC3F20">
              <w:t>related psychological distress and job burnout among Serbian pharmacy practitioners: a cross-sectional online study. Eur Rev Med Pharmacol Sci. 2022;26(7)</w:t>
            </w:r>
            <w:r w:rsidRPr="00AC3F20">
              <w:t>:2639-45</w:t>
            </w:r>
            <w:r w:rsidRPr="00AC3F20">
              <w:t>.</w:t>
            </w:r>
          </w:p>
        </w:tc>
        <w:tc>
          <w:tcPr>
            <w:tcW w:w="321" w:type="pct"/>
            <w:vAlign w:val="center"/>
          </w:tcPr>
          <w:p w:rsidR="00487DA6" w:rsidRPr="00AC3F20" w:rsidRDefault="00487DA6" w:rsidP="00EF6233">
            <w:pPr>
              <w:jc w:val="center"/>
            </w:pPr>
          </w:p>
        </w:tc>
        <w:tc>
          <w:tcPr>
            <w:tcW w:w="385" w:type="pct"/>
            <w:gridSpan w:val="2"/>
            <w:vAlign w:val="center"/>
          </w:tcPr>
          <w:p w:rsidR="00487DA6" w:rsidRPr="00AC3F20" w:rsidRDefault="00487DA6" w:rsidP="00EF6233">
            <w:pPr>
              <w:jc w:val="center"/>
            </w:pPr>
            <w:r w:rsidRPr="00AC3F20">
              <w:t>21</w:t>
            </w:r>
          </w:p>
        </w:tc>
        <w:tc>
          <w:tcPr>
            <w:tcW w:w="385" w:type="pct"/>
            <w:vAlign w:val="center"/>
          </w:tcPr>
          <w:p w:rsidR="00487DA6" w:rsidRPr="00AC3F20" w:rsidRDefault="00487DA6" w:rsidP="00EF6233">
            <w:pPr>
              <w:jc w:val="center"/>
            </w:pPr>
            <w:r w:rsidRPr="00AC3F20">
              <w:t>3.784</w:t>
            </w:r>
          </w:p>
        </w:tc>
      </w:tr>
      <w:tr w:rsidR="00487DA6" w:rsidRPr="006E7435" w:rsidTr="002F24D3">
        <w:trPr>
          <w:trHeight w:val="227"/>
          <w:jc w:val="center"/>
        </w:trPr>
        <w:tc>
          <w:tcPr>
            <w:tcW w:w="251" w:type="pct"/>
            <w:vAlign w:val="center"/>
          </w:tcPr>
          <w:p w:rsidR="00487DA6" w:rsidRDefault="00487DA6" w:rsidP="0033672F">
            <w:pPr>
              <w:jc w:val="center"/>
            </w:pPr>
            <w:r>
              <w:t>18.</w:t>
            </w:r>
          </w:p>
        </w:tc>
        <w:tc>
          <w:tcPr>
            <w:tcW w:w="3658" w:type="pct"/>
            <w:gridSpan w:val="8"/>
          </w:tcPr>
          <w:p w:rsidR="00487DA6" w:rsidRPr="00AC3F20" w:rsidRDefault="00487DA6" w:rsidP="0033672F">
            <w:pPr>
              <w:spacing w:line="276" w:lineRule="auto"/>
              <w:jc w:val="both"/>
            </w:pPr>
            <w:r w:rsidRPr="00AC3F20">
              <w:t xml:space="preserve">Jovičić-Bata J, Pavlović N, Milošević N, Gavarić N, Goločorbin-Kon S, </w:t>
            </w:r>
            <w:r w:rsidRPr="00AC3F20">
              <w:rPr>
                <w:b/>
              </w:rPr>
              <w:t>Todorović N</w:t>
            </w:r>
            <w:r w:rsidRPr="00AC3F20">
              <w:t>, Lalić-Popović M. Coping with the burden of the COVID-19 pandemic: a cross-sectional study of community pharmacists from Serbia. BMC Health Serv Res. 2021;21(1):304.</w:t>
            </w:r>
          </w:p>
        </w:tc>
        <w:tc>
          <w:tcPr>
            <w:tcW w:w="321" w:type="pct"/>
            <w:vAlign w:val="center"/>
          </w:tcPr>
          <w:p w:rsidR="00487DA6" w:rsidRPr="00AC3F20" w:rsidRDefault="00487DA6" w:rsidP="0033672F">
            <w:pPr>
              <w:jc w:val="center"/>
            </w:pPr>
          </w:p>
        </w:tc>
        <w:tc>
          <w:tcPr>
            <w:tcW w:w="385" w:type="pct"/>
            <w:gridSpan w:val="2"/>
            <w:vAlign w:val="center"/>
          </w:tcPr>
          <w:p w:rsidR="00487DA6" w:rsidRPr="00AC3F20" w:rsidRDefault="00487DA6" w:rsidP="0033672F">
            <w:pPr>
              <w:jc w:val="center"/>
            </w:pPr>
            <w:r w:rsidRPr="00AC3F20">
              <w:t>22</w:t>
            </w:r>
          </w:p>
        </w:tc>
        <w:tc>
          <w:tcPr>
            <w:tcW w:w="385" w:type="pct"/>
            <w:vAlign w:val="center"/>
          </w:tcPr>
          <w:p w:rsidR="00487DA6" w:rsidRPr="00AC3F20" w:rsidRDefault="00487DA6" w:rsidP="0033672F">
            <w:pPr>
              <w:jc w:val="center"/>
            </w:pPr>
            <w:r w:rsidRPr="00AC3F20">
              <w:t>3.647</w:t>
            </w:r>
          </w:p>
        </w:tc>
      </w:tr>
      <w:tr w:rsidR="00487DA6" w:rsidRPr="006E7435" w:rsidTr="002F24D3">
        <w:trPr>
          <w:trHeight w:val="227"/>
          <w:jc w:val="center"/>
        </w:trPr>
        <w:tc>
          <w:tcPr>
            <w:tcW w:w="251" w:type="pct"/>
            <w:vAlign w:val="center"/>
          </w:tcPr>
          <w:p w:rsidR="00487DA6" w:rsidRDefault="00487DA6" w:rsidP="0033672F">
            <w:pPr>
              <w:jc w:val="center"/>
            </w:pPr>
            <w:r>
              <w:t>19.</w:t>
            </w:r>
          </w:p>
        </w:tc>
        <w:tc>
          <w:tcPr>
            <w:tcW w:w="3658" w:type="pct"/>
            <w:gridSpan w:val="8"/>
          </w:tcPr>
          <w:p w:rsidR="00487DA6" w:rsidRPr="00AC3F20" w:rsidRDefault="00487DA6" w:rsidP="0033672F">
            <w:pPr>
              <w:spacing w:line="276" w:lineRule="auto"/>
              <w:jc w:val="both"/>
            </w:pPr>
            <w:r w:rsidRPr="00AC3F20">
              <w:t xml:space="preserve">Kovačević S, Banjac MK, Milošević N, Ćurčić J, Marjanović D, </w:t>
            </w:r>
            <w:r w:rsidRPr="00AC3F20">
              <w:rPr>
                <w:b/>
              </w:rPr>
              <w:t>Todorović N</w:t>
            </w:r>
            <w:r w:rsidRPr="00AC3F20">
              <w:t>, Krmar J, Podunavac-Kuzmanović S, Banjac N, Ušćumlić G. Comparative chemometric and quantitative structure-retention relationship analysis of anisotropic lipophilicity of 1-arylsuccinimide derivatives determined in high-performance thin-layer chromatography system with aprotic solvents. J Chromatogr A. 2020;1628:461439.</w:t>
            </w:r>
          </w:p>
        </w:tc>
        <w:tc>
          <w:tcPr>
            <w:tcW w:w="321" w:type="pct"/>
            <w:vAlign w:val="center"/>
          </w:tcPr>
          <w:p w:rsidR="00487DA6" w:rsidRPr="00AC3F20" w:rsidRDefault="00487DA6" w:rsidP="0033672F">
            <w:pPr>
              <w:jc w:val="center"/>
            </w:pPr>
          </w:p>
        </w:tc>
        <w:tc>
          <w:tcPr>
            <w:tcW w:w="385" w:type="pct"/>
            <w:gridSpan w:val="2"/>
            <w:vAlign w:val="center"/>
          </w:tcPr>
          <w:p w:rsidR="00487DA6" w:rsidRPr="00AC3F20" w:rsidRDefault="00487DA6" w:rsidP="0033672F">
            <w:pPr>
              <w:jc w:val="center"/>
            </w:pPr>
            <w:r w:rsidRPr="00AC3F20">
              <w:t>21</w:t>
            </w:r>
          </w:p>
        </w:tc>
        <w:tc>
          <w:tcPr>
            <w:tcW w:w="385" w:type="pct"/>
            <w:vAlign w:val="center"/>
          </w:tcPr>
          <w:p w:rsidR="00487DA6" w:rsidRPr="00AC3F20" w:rsidRDefault="00487DA6" w:rsidP="0033672F">
            <w:pPr>
              <w:jc w:val="center"/>
            </w:pPr>
            <w:r w:rsidRPr="00AC3F20">
              <w:t>4.759</w:t>
            </w:r>
          </w:p>
        </w:tc>
      </w:tr>
      <w:tr w:rsidR="00487DA6" w:rsidRPr="006E7435" w:rsidTr="002F24D3">
        <w:trPr>
          <w:trHeight w:val="227"/>
          <w:jc w:val="center"/>
        </w:trPr>
        <w:tc>
          <w:tcPr>
            <w:tcW w:w="251" w:type="pct"/>
            <w:vAlign w:val="center"/>
          </w:tcPr>
          <w:p w:rsidR="00487DA6" w:rsidRDefault="00487DA6" w:rsidP="0033672F">
            <w:pPr>
              <w:jc w:val="center"/>
            </w:pPr>
            <w:r>
              <w:t>20.</w:t>
            </w:r>
          </w:p>
        </w:tc>
        <w:tc>
          <w:tcPr>
            <w:tcW w:w="3658" w:type="pct"/>
            <w:gridSpan w:val="8"/>
          </w:tcPr>
          <w:p w:rsidR="00487DA6" w:rsidRPr="00AC3F20" w:rsidRDefault="00487DA6" w:rsidP="0033672F">
            <w:pPr>
              <w:spacing w:line="276" w:lineRule="auto"/>
              <w:jc w:val="both"/>
            </w:pPr>
            <w:r w:rsidRPr="00AC3F20">
              <w:t xml:space="preserve">Parezanović GŠ, Lalić-Popović M, Goločorbin-Kon S, </w:t>
            </w:r>
            <w:r w:rsidRPr="00AC3F20">
              <w:rPr>
                <w:b/>
              </w:rPr>
              <w:t>Todorović N</w:t>
            </w:r>
            <w:r w:rsidRPr="00AC3F20">
              <w:t>, Pavlović N, Mikov M. In vitro comparative quality evaluation of non-expired and 10 years-expired lamotrigine immediate-release tablet formulations–pilot study. Dissolution Technol. 2020;27:14-20.</w:t>
            </w:r>
          </w:p>
        </w:tc>
        <w:tc>
          <w:tcPr>
            <w:tcW w:w="321" w:type="pct"/>
            <w:vAlign w:val="center"/>
          </w:tcPr>
          <w:p w:rsidR="00487DA6" w:rsidRPr="00AC3F20" w:rsidRDefault="00487DA6" w:rsidP="0033672F">
            <w:pPr>
              <w:jc w:val="center"/>
            </w:pPr>
          </w:p>
        </w:tc>
        <w:tc>
          <w:tcPr>
            <w:tcW w:w="385" w:type="pct"/>
            <w:gridSpan w:val="2"/>
            <w:vAlign w:val="center"/>
          </w:tcPr>
          <w:p w:rsidR="00487DA6" w:rsidRPr="00AC3F20" w:rsidRDefault="00487DA6" w:rsidP="0033672F">
            <w:pPr>
              <w:jc w:val="center"/>
            </w:pPr>
            <w:r w:rsidRPr="00AC3F20">
              <w:t>23</w:t>
            </w:r>
          </w:p>
        </w:tc>
        <w:tc>
          <w:tcPr>
            <w:tcW w:w="385" w:type="pct"/>
            <w:vAlign w:val="center"/>
          </w:tcPr>
          <w:p w:rsidR="00487DA6" w:rsidRPr="00AC3F20" w:rsidRDefault="00487DA6" w:rsidP="0033672F">
            <w:pPr>
              <w:jc w:val="center"/>
            </w:pPr>
            <w:r w:rsidRPr="00AC3F20">
              <w:t>0.983</w:t>
            </w:r>
          </w:p>
        </w:tc>
      </w:tr>
      <w:tr w:rsidR="00487DA6" w:rsidRPr="006E7435" w:rsidTr="00A85D19">
        <w:trPr>
          <w:trHeight w:val="227"/>
          <w:jc w:val="center"/>
        </w:trPr>
        <w:tc>
          <w:tcPr>
            <w:tcW w:w="5000" w:type="pct"/>
            <w:gridSpan w:val="13"/>
            <w:vAlign w:val="center"/>
          </w:tcPr>
          <w:p w:rsidR="00487DA6" w:rsidRPr="006E7435" w:rsidRDefault="00487DA6" w:rsidP="0033672F">
            <w:pPr>
              <w:spacing w:after="60"/>
              <w:rPr>
                <w:b/>
                <w:lang w:val="sr-Cyrl-CS"/>
              </w:rPr>
            </w:pPr>
            <w:r w:rsidRPr="006E7435">
              <w:rPr>
                <w:b/>
                <w:lang w:val="sr-Cyrl-CS"/>
              </w:rPr>
              <w:t>Збирни подаци научне активност наставника</w:t>
            </w:r>
          </w:p>
        </w:tc>
      </w:tr>
      <w:tr w:rsidR="00487DA6" w:rsidRPr="006E7435" w:rsidTr="00A85D19">
        <w:trPr>
          <w:trHeight w:val="227"/>
          <w:jc w:val="center"/>
        </w:trPr>
        <w:tc>
          <w:tcPr>
            <w:tcW w:w="5000" w:type="pct"/>
            <w:gridSpan w:val="13"/>
            <w:vAlign w:val="center"/>
          </w:tcPr>
          <w:p w:rsidR="00487DA6" w:rsidRPr="006E7435" w:rsidRDefault="00487DA6" w:rsidP="0033672F">
            <w:pPr>
              <w:spacing w:after="60"/>
              <w:rPr>
                <w:b/>
                <w:lang w:val="sr-Cyrl-CS"/>
              </w:rPr>
            </w:pPr>
            <w:r w:rsidRPr="006E7435">
              <w:rPr>
                <w:b/>
                <w:lang w:val="sr-Cyrl-CS"/>
              </w:rPr>
              <w:t xml:space="preserve">Збирни подаци </w:t>
            </w:r>
            <w:r w:rsidRPr="006E7435">
              <w:rPr>
                <w:b/>
              </w:rPr>
              <w:t xml:space="preserve">уметничке </w:t>
            </w:r>
            <w:r w:rsidRPr="006E7435">
              <w:rPr>
                <w:b/>
                <w:lang w:val="sr-Cyrl-CS"/>
              </w:rPr>
              <w:t xml:space="preserve"> активност наставника</w:t>
            </w:r>
          </w:p>
        </w:tc>
      </w:tr>
      <w:tr w:rsidR="00487DA6" w:rsidRPr="006E7435" w:rsidTr="002F24D3">
        <w:trPr>
          <w:trHeight w:val="227"/>
          <w:jc w:val="center"/>
        </w:trPr>
        <w:tc>
          <w:tcPr>
            <w:tcW w:w="2339" w:type="pct"/>
            <w:gridSpan w:val="4"/>
            <w:vAlign w:val="center"/>
          </w:tcPr>
          <w:p w:rsidR="00487DA6" w:rsidRPr="006E7435" w:rsidRDefault="00487DA6" w:rsidP="0033672F">
            <w:pPr>
              <w:spacing w:after="60"/>
              <w:rPr>
                <w:lang w:val="sr-Cyrl-CS"/>
              </w:rPr>
            </w:pPr>
            <w:r w:rsidRPr="006E7435">
              <w:rPr>
                <w:lang w:val="sr-Cyrl-CS"/>
              </w:rPr>
              <w:t>Укупан број цитата, без аутоцитата</w:t>
            </w:r>
          </w:p>
        </w:tc>
        <w:tc>
          <w:tcPr>
            <w:tcW w:w="2661" w:type="pct"/>
            <w:gridSpan w:val="9"/>
            <w:vAlign w:val="center"/>
          </w:tcPr>
          <w:p w:rsidR="00487DA6" w:rsidRPr="00444256" w:rsidRDefault="00487DA6" w:rsidP="0033672F">
            <w:pPr>
              <w:spacing w:after="60"/>
              <w:rPr>
                <w:b/>
              </w:rPr>
            </w:pPr>
            <w:r>
              <w:t>103</w:t>
            </w:r>
          </w:p>
        </w:tc>
      </w:tr>
      <w:tr w:rsidR="00487DA6" w:rsidRPr="006E7435" w:rsidTr="002F24D3">
        <w:trPr>
          <w:trHeight w:val="227"/>
          <w:jc w:val="center"/>
        </w:trPr>
        <w:tc>
          <w:tcPr>
            <w:tcW w:w="2339" w:type="pct"/>
            <w:gridSpan w:val="4"/>
            <w:vAlign w:val="center"/>
          </w:tcPr>
          <w:p w:rsidR="00487DA6" w:rsidRPr="006E7435" w:rsidRDefault="00487DA6" w:rsidP="0033672F">
            <w:pPr>
              <w:spacing w:after="60"/>
              <w:rPr>
                <w:lang w:val="sr-Cyrl-CS"/>
              </w:rPr>
            </w:pPr>
            <w:r w:rsidRPr="006E7435">
              <w:rPr>
                <w:lang w:val="sr-Cyrl-CS"/>
              </w:rPr>
              <w:lastRenderedPageBreak/>
              <w:t>Укупан број радова са SCI (или SSCI) листе</w:t>
            </w:r>
          </w:p>
        </w:tc>
        <w:tc>
          <w:tcPr>
            <w:tcW w:w="2661" w:type="pct"/>
            <w:gridSpan w:val="9"/>
            <w:vAlign w:val="center"/>
          </w:tcPr>
          <w:p w:rsidR="00487DA6" w:rsidRPr="00386EAD" w:rsidRDefault="00487DA6" w:rsidP="0033672F">
            <w:pPr>
              <w:spacing w:after="60"/>
              <w:rPr>
                <w:bCs/>
              </w:rPr>
            </w:pPr>
            <w:r>
              <w:rPr>
                <w:bCs/>
              </w:rPr>
              <w:t>20</w:t>
            </w:r>
          </w:p>
        </w:tc>
      </w:tr>
      <w:tr w:rsidR="00487DA6" w:rsidRPr="006E7435" w:rsidTr="002F24D3">
        <w:trPr>
          <w:trHeight w:val="227"/>
          <w:jc w:val="center"/>
        </w:trPr>
        <w:tc>
          <w:tcPr>
            <w:tcW w:w="2339" w:type="pct"/>
            <w:gridSpan w:val="4"/>
            <w:vAlign w:val="center"/>
          </w:tcPr>
          <w:p w:rsidR="00487DA6" w:rsidRPr="006E7435" w:rsidRDefault="00487DA6" w:rsidP="0033672F">
            <w:pPr>
              <w:spacing w:after="60"/>
              <w:rPr>
                <w:b/>
                <w:lang w:val="sr-Cyrl-CS"/>
              </w:rPr>
            </w:pPr>
            <w:r w:rsidRPr="006E7435">
              <w:rPr>
                <w:lang w:val="sr-Cyrl-CS"/>
              </w:rPr>
              <w:t>Тренутно учешће на пројектима</w:t>
            </w:r>
          </w:p>
        </w:tc>
        <w:tc>
          <w:tcPr>
            <w:tcW w:w="539" w:type="pct"/>
            <w:gridSpan w:val="2"/>
            <w:vAlign w:val="center"/>
          </w:tcPr>
          <w:p w:rsidR="00487DA6" w:rsidRPr="006E7435" w:rsidRDefault="00487DA6" w:rsidP="0033672F">
            <w:pPr>
              <w:spacing w:after="60"/>
              <w:rPr>
                <w:b/>
                <w:lang w:val="sr-Cyrl-CS"/>
              </w:rPr>
            </w:pPr>
            <w:r w:rsidRPr="006E7435">
              <w:rPr>
                <w:lang w:val="sr-Cyrl-CS"/>
              </w:rPr>
              <w:t>Домаћи</w:t>
            </w:r>
            <w:r>
              <w:rPr>
                <w:lang w:val="sr-Cyrl-CS"/>
              </w:rPr>
              <w:t xml:space="preserve"> 1</w:t>
            </w:r>
          </w:p>
        </w:tc>
        <w:tc>
          <w:tcPr>
            <w:tcW w:w="2122" w:type="pct"/>
            <w:gridSpan w:val="7"/>
            <w:vAlign w:val="center"/>
          </w:tcPr>
          <w:p w:rsidR="00487DA6" w:rsidRPr="006E7435" w:rsidRDefault="00487DA6" w:rsidP="0033672F">
            <w:pPr>
              <w:spacing w:after="60"/>
              <w:rPr>
                <w:b/>
                <w:lang w:val="sr-Cyrl-CS"/>
              </w:rPr>
            </w:pPr>
            <w:r w:rsidRPr="006E7435">
              <w:rPr>
                <w:lang w:val="sr-Cyrl-CS"/>
              </w:rPr>
              <w:t>Међународни</w:t>
            </w:r>
          </w:p>
        </w:tc>
      </w:tr>
      <w:tr w:rsidR="00487DA6" w:rsidRPr="006E7435" w:rsidTr="002F24D3">
        <w:trPr>
          <w:trHeight w:val="227"/>
          <w:jc w:val="center"/>
        </w:trPr>
        <w:tc>
          <w:tcPr>
            <w:tcW w:w="2339" w:type="pct"/>
            <w:gridSpan w:val="4"/>
            <w:vAlign w:val="center"/>
          </w:tcPr>
          <w:p w:rsidR="00487DA6" w:rsidRPr="006E7435" w:rsidRDefault="00487DA6" w:rsidP="0033672F">
            <w:pPr>
              <w:spacing w:after="60"/>
              <w:rPr>
                <w:b/>
                <w:lang w:val="sr-Cyrl-CS"/>
              </w:rPr>
            </w:pPr>
            <w:r w:rsidRPr="006E7435">
              <w:rPr>
                <w:lang w:val="sr-Cyrl-CS"/>
              </w:rPr>
              <w:t>Усавршавања</w:t>
            </w:r>
          </w:p>
        </w:tc>
        <w:tc>
          <w:tcPr>
            <w:tcW w:w="539" w:type="pct"/>
            <w:gridSpan w:val="2"/>
            <w:vAlign w:val="center"/>
          </w:tcPr>
          <w:p w:rsidR="00487DA6" w:rsidRPr="00EC1DD1" w:rsidRDefault="00487DA6" w:rsidP="0033672F">
            <w:pPr>
              <w:pStyle w:val="ListParagraph"/>
              <w:numPr>
                <w:ilvl w:val="0"/>
                <w:numId w:val="2"/>
              </w:numPr>
              <w:spacing w:after="60"/>
              <w:rPr>
                <w:bCs/>
                <w:lang w:val="sr-Cyrl-CS"/>
              </w:rPr>
            </w:pPr>
          </w:p>
        </w:tc>
        <w:tc>
          <w:tcPr>
            <w:tcW w:w="2122" w:type="pct"/>
            <w:gridSpan w:val="7"/>
            <w:vAlign w:val="center"/>
          </w:tcPr>
          <w:p w:rsidR="00487DA6" w:rsidRPr="00EC1DD1" w:rsidRDefault="00487DA6" w:rsidP="0033672F">
            <w:pPr>
              <w:spacing w:after="60"/>
              <w:rPr>
                <w:bCs/>
                <w:lang w:val="sr-Cyrl-CS"/>
              </w:rPr>
            </w:pPr>
            <w:r w:rsidRPr="00EC1DD1">
              <w:rPr>
                <w:bCs/>
                <w:lang w:val="sr-Cyrl-CS"/>
              </w:rPr>
              <w:t>Универзитет у Београду – Фармацеутски факултет, здравствена специјализација из фармацеутске технологије (уписана 2024.)</w:t>
            </w:r>
          </w:p>
        </w:tc>
      </w:tr>
      <w:tr w:rsidR="00487DA6" w:rsidRPr="006E7435" w:rsidTr="002F24D3">
        <w:trPr>
          <w:trHeight w:val="227"/>
          <w:jc w:val="center"/>
        </w:trPr>
        <w:tc>
          <w:tcPr>
            <w:tcW w:w="2339" w:type="pct"/>
            <w:gridSpan w:val="4"/>
            <w:vAlign w:val="center"/>
          </w:tcPr>
          <w:p w:rsidR="00487DA6" w:rsidRPr="006E7435" w:rsidRDefault="00487DA6" w:rsidP="0033672F">
            <w:pPr>
              <w:spacing w:after="60"/>
              <w:rPr>
                <w:b/>
                <w:lang w:val="sr-Cyrl-CS"/>
              </w:rPr>
            </w:pPr>
            <w:r w:rsidRPr="006E7435">
              <w:rPr>
                <w:lang w:val="sr-Cyrl-CS"/>
              </w:rPr>
              <w:t>Други подаци које сматрате релевантним</w:t>
            </w:r>
          </w:p>
        </w:tc>
        <w:tc>
          <w:tcPr>
            <w:tcW w:w="2661" w:type="pct"/>
            <w:gridSpan w:val="9"/>
            <w:vAlign w:val="center"/>
          </w:tcPr>
          <w:p w:rsidR="00487DA6" w:rsidRPr="006E7435" w:rsidRDefault="00487DA6" w:rsidP="0033672F">
            <w:pPr>
              <w:spacing w:after="60"/>
              <w:rPr>
                <w:b/>
                <w:lang w:val="sr-Cyrl-CS"/>
              </w:rPr>
            </w:pPr>
          </w:p>
        </w:tc>
      </w:tr>
    </w:tbl>
    <w:p w:rsidR="001543AE" w:rsidRPr="00441250" w:rsidRDefault="001543AE" w:rsidP="001543AE">
      <w:pPr>
        <w:rPr>
          <w:sz w:val="6"/>
          <w:szCs w:val="6"/>
        </w:rPr>
      </w:pPr>
    </w:p>
    <w:p w:rsidR="00A96A06" w:rsidRDefault="00A96A06"/>
    <w:sectPr w:rsidR="00A96A06" w:rsidSect="00A96A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C7230"/>
    <w:multiLevelType w:val="hybridMultilevel"/>
    <w:tmpl w:val="CC4869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7EE736AE"/>
    <w:multiLevelType w:val="hybridMultilevel"/>
    <w:tmpl w:val="772EA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1543AE"/>
    <w:rsid w:val="00045165"/>
    <w:rsid w:val="000925E4"/>
    <w:rsid w:val="000B4FFE"/>
    <w:rsid w:val="000F2D36"/>
    <w:rsid w:val="000F40DD"/>
    <w:rsid w:val="000F7303"/>
    <w:rsid w:val="00112F42"/>
    <w:rsid w:val="00134A92"/>
    <w:rsid w:val="001543AE"/>
    <w:rsid w:val="00175449"/>
    <w:rsid w:val="00292F7E"/>
    <w:rsid w:val="002974FB"/>
    <w:rsid w:val="002D3076"/>
    <w:rsid w:val="002F24D3"/>
    <w:rsid w:val="0033672F"/>
    <w:rsid w:val="003422FD"/>
    <w:rsid w:val="00342AF5"/>
    <w:rsid w:val="00346DF7"/>
    <w:rsid w:val="00365D40"/>
    <w:rsid w:val="00386EAD"/>
    <w:rsid w:val="003A7142"/>
    <w:rsid w:val="003B58A4"/>
    <w:rsid w:val="003B62EC"/>
    <w:rsid w:val="003E7B2A"/>
    <w:rsid w:val="003F177B"/>
    <w:rsid w:val="00401C10"/>
    <w:rsid w:val="00444256"/>
    <w:rsid w:val="0046680D"/>
    <w:rsid w:val="00474035"/>
    <w:rsid w:val="00487DA6"/>
    <w:rsid w:val="00493628"/>
    <w:rsid w:val="00557186"/>
    <w:rsid w:val="00584250"/>
    <w:rsid w:val="005B0A09"/>
    <w:rsid w:val="005B6DDC"/>
    <w:rsid w:val="00607E20"/>
    <w:rsid w:val="006649EB"/>
    <w:rsid w:val="00674775"/>
    <w:rsid w:val="006846B5"/>
    <w:rsid w:val="006A06F9"/>
    <w:rsid w:val="006B46C5"/>
    <w:rsid w:val="006C4A91"/>
    <w:rsid w:val="006D144E"/>
    <w:rsid w:val="006D27FA"/>
    <w:rsid w:val="006E7435"/>
    <w:rsid w:val="00704375"/>
    <w:rsid w:val="00731FA5"/>
    <w:rsid w:val="00785176"/>
    <w:rsid w:val="00874FA5"/>
    <w:rsid w:val="00895048"/>
    <w:rsid w:val="008B35BC"/>
    <w:rsid w:val="00935434"/>
    <w:rsid w:val="00981852"/>
    <w:rsid w:val="009A6FB8"/>
    <w:rsid w:val="009A7403"/>
    <w:rsid w:val="00A07DC3"/>
    <w:rsid w:val="00A319E0"/>
    <w:rsid w:val="00A53E6A"/>
    <w:rsid w:val="00A738BF"/>
    <w:rsid w:val="00A84221"/>
    <w:rsid w:val="00A85D19"/>
    <w:rsid w:val="00A96A06"/>
    <w:rsid w:val="00AC215E"/>
    <w:rsid w:val="00AC3F20"/>
    <w:rsid w:val="00B00AE4"/>
    <w:rsid w:val="00B72955"/>
    <w:rsid w:val="00B741FC"/>
    <w:rsid w:val="00BB7EA9"/>
    <w:rsid w:val="00BC7347"/>
    <w:rsid w:val="00BD55DE"/>
    <w:rsid w:val="00BF7739"/>
    <w:rsid w:val="00C13AA9"/>
    <w:rsid w:val="00D138CB"/>
    <w:rsid w:val="00D14251"/>
    <w:rsid w:val="00DE1F98"/>
    <w:rsid w:val="00E03948"/>
    <w:rsid w:val="00E74936"/>
    <w:rsid w:val="00E83C32"/>
    <w:rsid w:val="00E93128"/>
    <w:rsid w:val="00EC1DD1"/>
    <w:rsid w:val="00EC4DBF"/>
    <w:rsid w:val="00F245D8"/>
    <w:rsid w:val="00F56FAC"/>
    <w:rsid w:val="00F57935"/>
    <w:rsid w:val="00FC5895"/>
    <w:rsid w:val="00FD3DB2"/>
    <w:rsid w:val="00FE7CB4"/>
    <w:rsid w:val="00FF15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3AE"/>
    <w:pPr>
      <w:widowControl w:val="0"/>
      <w:autoSpaceDE w:val="0"/>
      <w:autoSpaceDN w:val="0"/>
      <w:adjustRightInd w:val="0"/>
    </w:pPr>
    <w:rPr>
      <w:rFonts w:ascii="Times New Roman" w:eastAsia="Cambria" w:hAnsi="Times New Roman"/>
      <w:lang w:val="sr-Latn-CS" w:eastAsia="sr-Latn-CS"/>
    </w:rPr>
  </w:style>
  <w:style w:type="paragraph" w:styleId="Heading1">
    <w:name w:val="heading 1"/>
    <w:basedOn w:val="Normal"/>
    <w:next w:val="Normal"/>
    <w:link w:val="Heading1Char"/>
    <w:uiPriority w:val="9"/>
    <w:qFormat/>
    <w:rsid w:val="0033672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A53E6A"/>
    <w:pPr>
      <w:keepNext/>
      <w:widowControl/>
      <w:autoSpaceDE/>
      <w:autoSpaceDN/>
      <w:adjustRightInd/>
      <w:spacing w:before="240" w:after="60"/>
      <w:outlineLvl w:val="2"/>
    </w:pPr>
    <w:rPr>
      <w:rFonts w:ascii="Cambria" w:eastAsia="Times New Roman" w:hAnsi="Cambria"/>
      <w:b/>
      <w:bCs/>
      <w:sz w:val="26"/>
      <w:szCs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DDC"/>
    <w:pPr>
      <w:ind w:left="720"/>
      <w:contextualSpacing/>
    </w:pPr>
  </w:style>
  <w:style w:type="character" w:styleId="Hyperlink">
    <w:name w:val="Hyperlink"/>
    <w:basedOn w:val="DefaultParagraphFont"/>
    <w:uiPriority w:val="99"/>
    <w:unhideWhenUsed/>
    <w:rsid w:val="009A7403"/>
    <w:rPr>
      <w:color w:val="0000FF"/>
      <w:u w:val="single"/>
    </w:rPr>
  </w:style>
  <w:style w:type="paragraph" w:customStyle="1" w:styleId="TableParagraph">
    <w:name w:val="Table Paragraph"/>
    <w:basedOn w:val="Normal"/>
    <w:uiPriority w:val="1"/>
    <w:qFormat/>
    <w:rsid w:val="003F177B"/>
    <w:pPr>
      <w:adjustRightInd/>
    </w:pPr>
    <w:rPr>
      <w:rFonts w:eastAsia="Times New Roman"/>
      <w:sz w:val="22"/>
      <w:szCs w:val="22"/>
      <w:lang w:val="en-US" w:eastAsia="en-US" w:bidi="en-US"/>
    </w:rPr>
  </w:style>
  <w:style w:type="character" w:styleId="FollowedHyperlink">
    <w:name w:val="FollowedHyperlink"/>
    <w:basedOn w:val="DefaultParagraphFont"/>
    <w:uiPriority w:val="99"/>
    <w:semiHidden/>
    <w:unhideWhenUsed/>
    <w:rsid w:val="00DE1F98"/>
    <w:rPr>
      <w:color w:val="800080"/>
      <w:u w:val="single"/>
    </w:rPr>
  </w:style>
  <w:style w:type="character" w:customStyle="1" w:styleId="Heading3Char">
    <w:name w:val="Heading 3 Char"/>
    <w:basedOn w:val="DefaultParagraphFont"/>
    <w:link w:val="Heading3"/>
    <w:rsid w:val="00A53E6A"/>
    <w:rPr>
      <w:rFonts w:ascii="Cambria" w:eastAsia="Times New Roman" w:hAnsi="Cambria" w:cs="Times New Roman"/>
      <w:b/>
      <w:bCs/>
      <w:sz w:val="26"/>
      <w:szCs w:val="26"/>
      <w:lang w:val="en-GB"/>
    </w:rPr>
  </w:style>
  <w:style w:type="character" w:customStyle="1" w:styleId="ti">
    <w:name w:val="ti"/>
    <w:basedOn w:val="DefaultParagraphFont"/>
    <w:rsid w:val="00A53E6A"/>
  </w:style>
  <w:style w:type="character" w:styleId="Strong">
    <w:name w:val="Strong"/>
    <w:basedOn w:val="DefaultParagraphFont"/>
    <w:uiPriority w:val="22"/>
    <w:qFormat/>
    <w:rsid w:val="00A53E6A"/>
    <w:rPr>
      <w:b/>
      <w:bCs/>
    </w:rPr>
  </w:style>
  <w:style w:type="character" w:customStyle="1" w:styleId="standard-view-style">
    <w:name w:val="standard-view-style"/>
    <w:basedOn w:val="DefaultParagraphFont"/>
    <w:rsid w:val="00A53E6A"/>
  </w:style>
  <w:style w:type="paragraph" w:customStyle="1" w:styleId="Title1">
    <w:name w:val="Title1"/>
    <w:basedOn w:val="Normal"/>
    <w:rsid w:val="00A53E6A"/>
    <w:pPr>
      <w:widowControl/>
      <w:autoSpaceDE/>
      <w:autoSpaceDN/>
      <w:adjustRightInd/>
      <w:spacing w:before="100" w:beforeAutospacing="1" w:after="100" w:afterAutospacing="1"/>
    </w:pPr>
    <w:rPr>
      <w:rFonts w:eastAsia="Times New Roman"/>
      <w:sz w:val="24"/>
      <w:szCs w:val="24"/>
      <w:lang w:val="en-US" w:eastAsia="en-US"/>
    </w:rPr>
  </w:style>
  <w:style w:type="character" w:customStyle="1" w:styleId="jrnl">
    <w:name w:val="jrnl"/>
    <w:basedOn w:val="DefaultParagraphFont"/>
    <w:rsid w:val="00A53E6A"/>
  </w:style>
  <w:style w:type="paragraph" w:customStyle="1" w:styleId="source1">
    <w:name w:val="source1"/>
    <w:basedOn w:val="Normal"/>
    <w:rsid w:val="00A53E6A"/>
    <w:pPr>
      <w:widowControl/>
      <w:autoSpaceDE/>
      <w:autoSpaceDN/>
      <w:adjustRightInd/>
      <w:spacing w:before="120" w:line="240" w:lineRule="atLeast"/>
      <w:ind w:left="825"/>
    </w:pPr>
    <w:rPr>
      <w:rFonts w:eastAsia="Times New Roman"/>
      <w:sz w:val="18"/>
      <w:szCs w:val="18"/>
      <w:lang w:val="en-US" w:eastAsia="en-US"/>
    </w:rPr>
  </w:style>
  <w:style w:type="character" w:customStyle="1" w:styleId="hithilite">
    <w:name w:val="hithilite"/>
    <w:basedOn w:val="DefaultParagraphFont"/>
    <w:rsid w:val="00A53E6A"/>
  </w:style>
  <w:style w:type="paragraph" w:customStyle="1" w:styleId="Default">
    <w:name w:val="Default"/>
    <w:rsid w:val="00A84221"/>
    <w:pPr>
      <w:autoSpaceDE w:val="0"/>
      <w:autoSpaceDN w:val="0"/>
      <w:adjustRightInd w:val="0"/>
    </w:pPr>
    <w:rPr>
      <w:rFonts w:ascii="Times New Roman" w:hAnsi="Times New Roman"/>
      <w:color w:val="000000"/>
      <w:sz w:val="24"/>
      <w:szCs w:val="24"/>
    </w:rPr>
  </w:style>
  <w:style w:type="character" w:customStyle="1" w:styleId="Heading1Char">
    <w:name w:val="Heading 1 Char"/>
    <w:basedOn w:val="DefaultParagraphFont"/>
    <w:link w:val="Heading1"/>
    <w:uiPriority w:val="9"/>
    <w:rsid w:val="0033672F"/>
    <w:rPr>
      <w:rFonts w:asciiTheme="majorHAnsi" w:eastAsiaTheme="majorEastAsia" w:hAnsiTheme="majorHAnsi" w:cstheme="majorBidi"/>
      <w:color w:val="2F5496" w:themeColor="accent1" w:themeShade="BF"/>
      <w:sz w:val="32"/>
      <w:szCs w:val="32"/>
      <w:lang w:val="sr-Latn-CS" w:eastAsia="sr-Latn-CS"/>
    </w:rPr>
  </w:style>
</w:styles>
</file>

<file path=word/webSettings.xml><?xml version="1.0" encoding="utf-8"?>
<w:webSettings xmlns:r="http://schemas.openxmlformats.org/officeDocument/2006/relationships" xmlns:w="http://schemas.openxmlformats.org/wordprocessingml/2006/main">
  <w:divs>
    <w:div w:id="144858960">
      <w:bodyDiv w:val="1"/>
      <w:marLeft w:val="0"/>
      <w:marRight w:val="0"/>
      <w:marTop w:val="0"/>
      <w:marBottom w:val="0"/>
      <w:divBdr>
        <w:top w:val="none" w:sz="0" w:space="0" w:color="auto"/>
        <w:left w:val="none" w:sz="0" w:space="0" w:color="auto"/>
        <w:bottom w:val="none" w:sz="0" w:space="0" w:color="auto"/>
        <w:right w:val="none" w:sz="0" w:space="0" w:color="auto"/>
      </w:divBdr>
    </w:div>
    <w:div w:id="195968196">
      <w:bodyDiv w:val="1"/>
      <w:marLeft w:val="0"/>
      <w:marRight w:val="0"/>
      <w:marTop w:val="0"/>
      <w:marBottom w:val="0"/>
      <w:divBdr>
        <w:top w:val="none" w:sz="0" w:space="0" w:color="auto"/>
        <w:left w:val="none" w:sz="0" w:space="0" w:color="auto"/>
        <w:bottom w:val="none" w:sz="0" w:space="0" w:color="auto"/>
        <w:right w:val="none" w:sz="0" w:space="0" w:color="auto"/>
      </w:divBdr>
      <w:divsChild>
        <w:div w:id="838468884">
          <w:marLeft w:val="0"/>
          <w:marRight w:val="0"/>
          <w:marTop w:val="0"/>
          <w:marBottom w:val="0"/>
          <w:divBdr>
            <w:top w:val="none" w:sz="0" w:space="0" w:color="auto"/>
            <w:left w:val="none" w:sz="0" w:space="0" w:color="auto"/>
            <w:bottom w:val="none" w:sz="0" w:space="0" w:color="auto"/>
            <w:right w:val="none" w:sz="0" w:space="0" w:color="auto"/>
          </w:divBdr>
        </w:div>
        <w:div w:id="1430128052">
          <w:marLeft w:val="0"/>
          <w:marRight w:val="0"/>
          <w:marTop w:val="0"/>
          <w:marBottom w:val="0"/>
          <w:divBdr>
            <w:top w:val="none" w:sz="0" w:space="0" w:color="auto"/>
            <w:left w:val="none" w:sz="0" w:space="0" w:color="auto"/>
            <w:bottom w:val="none" w:sz="0" w:space="0" w:color="auto"/>
            <w:right w:val="none" w:sz="0" w:space="0" w:color="auto"/>
          </w:divBdr>
        </w:div>
        <w:div w:id="1700011601">
          <w:marLeft w:val="0"/>
          <w:marRight w:val="0"/>
          <w:marTop w:val="0"/>
          <w:marBottom w:val="0"/>
          <w:divBdr>
            <w:top w:val="none" w:sz="0" w:space="0" w:color="auto"/>
            <w:left w:val="none" w:sz="0" w:space="0" w:color="auto"/>
            <w:bottom w:val="none" w:sz="0" w:space="0" w:color="auto"/>
            <w:right w:val="none" w:sz="0" w:space="0" w:color="auto"/>
          </w:divBdr>
        </w:div>
      </w:divsChild>
    </w:div>
    <w:div w:id="214121496">
      <w:bodyDiv w:val="1"/>
      <w:marLeft w:val="0"/>
      <w:marRight w:val="0"/>
      <w:marTop w:val="0"/>
      <w:marBottom w:val="0"/>
      <w:divBdr>
        <w:top w:val="none" w:sz="0" w:space="0" w:color="auto"/>
        <w:left w:val="none" w:sz="0" w:space="0" w:color="auto"/>
        <w:bottom w:val="none" w:sz="0" w:space="0" w:color="auto"/>
        <w:right w:val="none" w:sz="0" w:space="0" w:color="auto"/>
      </w:divBdr>
      <w:divsChild>
        <w:div w:id="57095946">
          <w:marLeft w:val="0"/>
          <w:marRight w:val="0"/>
          <w:marTop w:val="0"/>
          <w:marBottom w:val="0"/>
          <w:divBdr>
            <w:top w:val="none" w:sz="0" w:space="0" w:color="auto"/>
            <w:left w:val="none" w:sz="0" w:space="0" w:color="auto"/>
            <w:bottom w:val="none" w:sz="0" w:space="0" w:color="auto"/>
            <w:right w:val="none" w:sz="0" w:space="0" w:color="auto"/>
          </w:divBdr>
        </w:div>
        <w:div w:id="254246314">
          <w:marLeft w:val="0"/>
          <w:marRight w:val="0"/>
          <w:marTop w:val="0"/>
          <w:marBottom w:val="0"/>
          <w:divBdr>
            <w:top w:val="none" w:sz="0" w:space="0" w:color="auto"/>
            <w:left w:val="none" w:sz="0" w:space="0" w:color="auto"/>
            <w:bottom w:val="none" w:sz="0" w:space="0" w:color="auto"/>
            <w:right w:val="none" w:sz="0" w:space="0" w:color="auto"/>
          </w:divBdr>
        </w:div>
        <w:div w:id="376054436">
          <w:marLeft w:val="0"/>
          <w:marRight w:val="0"/>
          <w:marTop w:val="0"/>
          <w:marBottom w:val="0"/>
          <w:divBdr>
            <w:top w:val="none" w:sz="0" w:space="0" w:color="auto"/>
            <w:left w:val="none" w:sz="0" w:space="0" w:color="auto"/>
            <w:bottom w:val="none" w:sz="0" w:space="0" w:color="auto"/>
            <w:right w:val="none" w:sz="0" w:space="0" w:color="auto"/>
          </w:divBdr>
        </w:div>
      </w:divsChild>
    </w:div>
    <w:div w:id="485586893">
      <w:bodyDiv w:val="1"/>
      <w:marLeft w:val="0"/>
      <w:marRight w:val="0"/>
      <w:marTop w:val="0"/>
      <w:marBottom w:val="0"/>
      <w:divBdr>
        <w:top w:val="none" w:sz="0" w:space="0" w:color="auto"/>
        <w:left w:val="none" w:sz="0" w:space="0" w:color="auto"/>
        <w:bottom w:val="none" w:sz="0" w:space="0" w:color="auto"/>
        <w:right w:val="none" w:sz="0" w:space="0" w:color="auto"/>
      </w:divBdr>
    </w:div>
    <w:div w:id="599221544">
      <w:bodyDiv w:val="1"/>
      <w:marLeft w:val="0"/>
      <w:marRight w:val="0"/>
      <w:marTop w:val="0"/>
      <w:marBottom w:val="0"/>
      <w:divBdr>
        <w:top w:val="none" w:sz="0" w:space="0" w:color="auto"/>
        <w:left w:val="none" w:sz="0" w:space="0" w:color="auto"/>
        <w:bottom w:val="none" w:sz="0" w:space="0" w:color="auto"/>
        <w:right w:val="none" w:sz="0" w:space="0" w:color="auto"/>
      </w:divBdr>
    </w:div>
    <w:div w:id="648244467">
      <w:bodyDiv w:val="1"/>
      <w:marLeft w:val="0"/>
      <w:marRight w:val="0"/>
      <w:marTop w:val="0"/>
      <w:marBottom w:val="0"/>
      <w:divBdr>
        <w:top w:val="none" w:sz="0" w:space="0" w:color="auto"/>
        <w:left w:val="none" w:sz="0" w:space="0" w:color="auto"/>
        <w:bottom w:val="none" w:sz="0" w:space="0" w:color="auto"/>
        <w:right w:val="none" w:sz="0" w:space="0" w:color="auto"/>
      </w:divBdr>
      <w:divsChild>
        <w:div w:id="880938142">
          <w:marLeft w:val="0"/>
          <w:marRight w:val="0"/>
          <w:marTop w:val="0"/>
          <w:marBottom w:val="0"/>
          <w:divBdr>
            <w:top w:val="none" w:sz="0" w:space="0" w:color="auto"/>
            <w:left w:val="none" w:sz="0" w:space="0" w:color="auto"/>
            <w:bottom w:val="none" w:sz="0" w:space="0" w:color="auto"/>
            <w:right w:val="none" w:sz="0" w:space="0" w:color="auto"/>
          </w:divBdr>
        </w:div>
      </w:divsChild>
    </w:div>
    <w:div w:id="162700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obson.nb.rs/nauka_u_srbiji.132.html?autor=Todorovic%20Nemanja%20B&amp;samoa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3</Pages>
  <Words>1198</Words>
  <Characters>6834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8016</CharactersWithSpaces>
  <SharedDoc>false</SharedDoc>
  <HLinks>
    <vt:vector size="168" baseType="variant">
      <vt:variant>
        <vt:i4>4653062</vt:i4>
      </vt:variant>
      <vt:variant>
        <vt:i4>81</vt:i4>
      </vt:variant>
      <vt:variant>
        <vt:i4>0</vt:i4>
      </vt:variant>
      <vt:variant>
        <vt:i4>5</vt:i4>
      </vt:variant>
      <vt:variant>
        <vt:lpwstr>http://www.ingentaconnect.com/content/asp/jbte;jsessionid=hb9kxux4z7z5.alice</vt:lpwstr>
      </vt:variant>
      <vt:variant>
        <vt:lpwstr/>
      </vt:variant>
      <vt:variant>
        <vt:i4>6225920</vt:i4>
      </vt:variant>
      <vt:variant>
        <vt:i4>78</vt:i4>
      </vt:variant>
      <vt:variant>
        <vt:i4>0</vt:i4>
      </vt:variant>
      <vt:variant>
        <vt:i4>5</vt:i4>
      </vt:variant>
      <vt:variant>
        <vt:lpwstr>http://www.dentopedia.info/biblioteka/bolesti-zuba-endodoncija/biocompatibility-of-three-root-end-filling-materials/</vt:lpwstr>
      </vt:variant>
      <vt:variant>
        <vt:lpwstr/>
      </vt:variant>
      <vt:variant>
        <vt:i4>3342432</vt:i4>
      </vt:variant>
      <vt:variant>
        <vt:i4>75</vt:i4>
      </vt:variant>
      <vt:variant>
        <vt:i4>0</vt:i4>
      </vt:variant>
      <vt:variant>
        <vt:i4>5</vt:i4>
      </vt:variant>
      <vt:variant>
        <vt:lpwstr>http://www.doiserbia.nb.rs/img/doi/0042-8450/2014/0042-84501412097B.pdf</vt:lpwstr>
      </vt:variant>
      <vt:variant>
        <vt:lpwstr/>
      </vt:variant>
      <vt:variant>
        <vt:i4>1769505</vt:i4>
      </vt:variant>
      <vt:variant>
        <vt:i4>72</vt:i4>
      </vt:variant>
      <vt:variant>
        <vt:i4>0</vt:i4>
      </vt:variant>
      <vt:variant>
        <vt:i4>5</vt:i4>
      </vt:variant>
      <vt:variant>
        <vt:lpwstr>https://www.researchgate.net/profile/Dejan_Markovic2/publication/261763539_Substantial_bone_loss_in_the_mandibular_central_incisors_area_as_a_complication_of_tongue_piercing_A_case_report/links/0a85e532eafe9e7ed6000000/Substantial-bone-loss-in-the-mandibul</vt:lpwstr>
      </vt:variant>
      <vt:variant>
        <vt:lpwstr/>
      </vt:variant>
      <vt:variant>
        <vt:i4>131074</vt:i4>
      </vt:variant>
      <vt:variant>
        <vt:i4>69</vt:i4>
      </vt:variant>
      <vt:variant>
        <vt:i4>0</vt:i4>
      </vt:variant>
      <vt:variant>
        <vt:i4>5</vt:i4>
      </vt:variant>
      <vt:variant>
        <vt:lpwstr>https://pubmed.ncbi.nlm.nih.gov/26025824/</vt:lpwstr>
      </vt:variant>
      <vt:variant>
        <vt:lpwstr/>
      </vt:variant>
      <vt:variant>
        <vt:i4>5636123</vt:i4>
      </vt:variant>
      <vt:variant>
        <vt:i4>66</vt:i4>
      </vt:variant>
      <vt:variant>
        <vt:i4>0</vt:i4>
      </vt:variant>
      <vt:variant>
        <vt:i4>5</vt:i4>
      </vt:variant>
      <vt:variant>
        <vt:lpwstr>http://ac.els-cdn.com/S0266435614005932/1-s2.0-S0266435614005932-main.pdf?_tid=6dcf222e-1dcb-11e7-b604-00000aab0f6b&amp;acdnat=1491814701_369671f98b99067971891f2417060581</vt:lpwstr>
      </vt:variant>
      <vt:variant>
        <vt:lpwstr/>
      </vt:variant>
      <vt:variant>
        <vt:i4>3211387</vt:i4>
      </vt:variant>
      <vt:variant>
        <vt:i4>63</vt:i4>
      </vt:variant>
      <vt:variant>
        <vt:i4>0</vt:i4>
      </vt:variant>
      <vt:variant>
        <vt:i4>5</vt:i4>
      </vt:variant>
      <vt:variant>
        <vt:lpwstr>http://www.doiserbia.nb.rs/img/doi/0042-8450/2016/0042-84501500125S.pdf</vt:lpwstr>
      </vt:variant>
      <vt:variant>
        <vt:lpwstr/>
      </vt:variant>
      <vt:variant>
        <vt:i4>852056</vt:i4>
      </vt:variant>
      <vt:variant>
        <vt:i4>60</vt:i4>
      </vt:variant>
      <vt:variant>
        <vt:i4>0</vt:i4>
      </vt:variant>
      <vt:variant>
        <vt:i4>5</vt:i4>
      </vt:variant>
      <vt:variant>
        <vt:lpwstr>https://www.ncbi.nlm.nih.gov/pubmed/27820690</vt:lpwstr>
      </vt:variant>
      <vt:variant>
        <vt:lpwstr/>
      </vt:variant>
      <vt:variant>
        <vt:i4>6815789</vt:i4>
      </vt:variant>
      <vt:variant>
        <vt:i4>57</vt:i4>
      </vt:variant>
      <vt:variant>
        <vt:i4>0</vt:i4>
      </vt:variant>
      <vt:variant>
        <vt:i4>5</vt:i4>
      </vt:variant>
      <vt:variant>
        <vt:lpwstr>../AppData/Local/Microsoft/Windows/INetCache/Content.Outlook/SVI mentori 2024/kartoni mentora na srpskom 2024/mentori novo/kartoni mentora 2020/kartoni mentora 2020 srpski/Unmet oral health needs among persons with intellectual disability</vt:lpwstr>
      </vt:variant>
      <vt:variant>
        <vt:lpwstr/>
      </vt:variant>
      <vt:variant>
        <vt:i4>4194394</vt:i4>
      </vt:variant>
      <vt:variant>
        <vt:i4>54</vt:i4>
      </vt:variant>
      <vt:variant>
        <vt:i4>0</vt:i4>
      </vt:variant>
      <vt:variant>
        <vt:i4>5</vt:i4>
      </vt:variant>
      <vt:variant>
        <vt:lpwstr>http://link.springer.com/article/10.1007%2Fs00784-016-1767-6</vt:lpwstr>
      </vt:variant>
      <vt:variant>
        <vt:lpwstr/>
      </vt:variant>
      <vt:variant>
        <vt:i4>5177374</vt:i4>
      </vt:variant>
      <vt:variant>
        <vt:i4>51</vt:i4>
      </vt:variant>
      <vt:variant>
        <vt:i4>0</vt:i4>
      </vt:variant>
      <vt:variant>
        <vt:i4>5</vt:i4>
      </vt:variant>
      <vt:variant>
        <vt:lpwstr>https://www.oooojournal.net/action/showPdf?pii=S2212-4403%2817%2931164-1</vt:lpwstr>
      </vt:variant>
      <vt:variant>
        <vt:lpwstr/>
      </vt:variant>
      <vt:variant>
        <vt:i4>458757</vt:i4>
      </vt:variant>
      <vt:variant>
        <vt:i4>48</vt:i4>
      </vt:variant>
      <vt:variant>
        <vt:i4>0</vt:i4>
      </vt:variant>
      <vt:variant>
        <vt:i4>5</vt:i4>
      </vt:variant>
      <vt:variant>
        <vt:lpwstr>https://pubmed.ncbi.nlm.nih.gov/28777103/</vt:lpwstr>
      </vt:variant>
      <vt:variant>
        <vt:lpwstr/>
      </vt:variant>
      <vt:variant>
        <vt:i4>1048667</vt:i4>
      </vt:variant>
      <vt:variant>
        <vt:i4>45</vt:i4>
      </vt:variant>
      <vt:variant>
        <vt:i4>0</vt:i4>
      </vt:variant>
      <vt:variant>
        <vt:i4>5</vt:i4>
      </vt:variant>
      <vt:variant>
        <vt:lpwstr>http://www.doiserbia.nb.rs/img/doi/0042-8450/2017 OnLine-First/0042-84501700128B.pdf</vt:lpwstr>
      </vt:variant>
      <vt:variant>
        <vt:lpwstr/>
      </vt:variant>
      <vt:variant>
        <vt:i4>1966103</vt:i4>
      </vt:variant>
      <vt:variant>
        <vt:i4>42</vt:i4>
      </vt:variant>
      <vt:variant>
        <vt:i4>0</vt:i4>
      </vt:variant>
      <vt:variant>
        <vt:i4>5</vt:i4>
      </vt:variant>
      <vt:variant>
        <vt:lpwstr>https://ezproxy.nb.rs:2069/doi/epdf/10.1111/hae.13928</vt:lpwstr>
      </vt:variant>
      <vt:variant>
        <vt:lpwstr/>
      </vt:variant>
      <vt:variant>
        <vt:i4>3145785</vt:i4>
      </vt:variant>
      <vt:variant>
        <vt:i4>39</vt:i4>
      </vt:variant>
      <vt:variant>
        <vt:i4>0</vt:i4>
      </vt:variant>
      <vt:variant>
        <vt:i4>5</vt:i4>
      </vt:variant>
      <vt:variant>
        <vt:lpwstr>https://www.oooojournal.net/article/S2212-4403(20)31116-0/fulltext</vt:lpwstr>
      </vt:variant>
      <vt:variant>
        <vt:lpwstr/>
      </vt:variant>
      <vt:variant>
        <vt:i4>327687</vt:i4>
      </vt:variant>
      <vt:variant>
        <vt:i4>36</vt:i4>
      </vt:variant>
      <vt:variant>
        <vt:i4>0</vt:i4>
      </vt:variant>
      <vt:variant>
        <vt:i4>5</vt:i4>
      </vt:variant>
      <vt:variant>
        <vt:lpwstr>https://pubmed.ncbi.nlm.nih.gov/33772962/</vt:lpwstr>
      </vt:variant>
      <vt:variant>
        <vt:lpwstr/>
      </vt:variant>
      <vt:variant>
        <vt:i4>327769</vt:i4>
      </vt:variant>
      <vt:variant>
        <vt:i4>33</vt:i4>
      </vt:variant>
      <vt:variant>
        <vt:i4>0</vt:i4>
      </vt:variant>
      <vt:variant>
        <vt:i4>5</vt:i4>
      </vt:variant>
      <vt:variant>
        <vt:lpwstr>https://doiserbia.nb.rs/Article.aspx?id=0042-84502000059V</vt:lpwstr>
      </vt:variant>
      <vt:variant>
        <vt:lpwstr/>
      </vt:variant>
      <vt:variant>
        <vt:i4>786445</vt:i4>
      </vt:variant>
      <vt:variant>
        <vt:i4>30</vt:i4>
      </vt:variant>
      <vt:variant>
        <vt:i4>0</vt:i4>
      </vt:variant>
      <vt:variant>
        <vt:i4>5</vt:i4>
      </vt:variant>
      <vt:variant>
        <vt:lpwstr>https://pubmed.ncbi.nlm.nih.gov/34888993/</vt:lpwstr>
      </vt:variant>
      <vt:variant>
        <vt:lpwstr/>
      </vt:variant>
      <vt:variant>
        <vt:i4>6946904</vt:i4>
      </vt:variant>
      <vt:variant>
        <vt:i4>27</vt:i4>
      </vt:variant>
      <vt:variant>
        <vt:i4>0</vt:i4>
      </vt:variant>
      <vt:variant>
        <vt:i4>5</vt:i4>
      </vt:variant>
      <vt:variant>
        <vt:lpwstr>https://www.researchgate.net/publication/346443646_A_comparative_analysis_of_the_efficacy_of_moxifloxacin_and_cefixime_in_reduction_of_postoperative_inflammatory_sequelae_after_mandibular_third_molar_surgery</vt:lpwstr>
      </vt:variant>
      <vt:variant>
        <vt:lpwstr/>
      </vt:variant>
      <vt:variant>
        <vt:i4>1966113</vt:i4>
      </vt:variant>
      <vt:variant>
        <vt:i4>24</vt:i4>
      </vt:variant>
      <vt:variant>
        <vt:i4>0</vt:i4>
      </vt:variant>
      <vt:variant>
        <vt:i4>5</vt:i4>
      </vt:variant>
      <vt:variant>
        <vt:lpwstr>https://www.researchgate.net/publication/360658586_Use_of_antibiotics_after_lower_third_molar_surgery_useful_or_harmful_procedure_A_randomized_double-blind_placebo-controlled_trial</vt:lpwstr>
      </vt:variant>
      <vt:variant>
        <vt:lpwstr/>
      </vt:variant>
      <vt:variant>
        <vt:i4>5898261</vt:i4>
      </vt:variant>
      <vt:variant>
        <vt:i4>21</vt:i4>
      </vt:variant>
      <vt:variant>
        <vt:i4>0</vt:i4>
      </vt:variant>
      <vt:variant>
        <vt:i4>5</vt:i4>
      </vt:variant>
      <vt:variant>
        <vt:lpwstr>https://www.mdpi.com/2076-3417/13/8/4823</vt:lpwstr>
      </vt:variant>
      <vt:variant>
        <vt:lpwstr/>
      </vt:variant>
      <vt:variant>
        <vt:i4>524383</vt:i4>
      </vt:variant>
      <vt:variant>
        <vt:i4>18</vt:i4>
      </vt:variant>
      <vt:variant>
        <vt:i4>0</vt:i4>
      </vt:variant>
      <vt:variant>
        <vt:i4>5</vt:i4>
      </vt:variant>
      <vt:variant>
        <vt:lpwstr>https://doiserbia.nb.rs/Article.aspx?ID=0042-84502300004M</vt:lpwstr>
      </vt:variant>
      <vt:variant>
        <vt:lpwstr/>
      </vt:variant>
      <vt:variant>
        <vt:i4>589911</vt:i4>
      </vt:variant>
      <vt:variant>
        <vt:i4>15</vt:i4>
      </vt:variant>
      <vt:variant>
        <vt:i4>0</vt:i4>
      </vt:variant>
      <vt:variant>
        <vt:i4>5</vt:i4>
      </vt:variant>
      <vt:variant>
        <vt:lpwstr>https://doiserbia.nb.rs/Article.aspx?ID=0370-81792300076B</vt:lpwstr>
      </vt:variant>
      <vt:variant>
        <vt:lpwstr/>
      </vt:variant>
      <vt:variant>
        <vt:i4>4390985</vt:i4>
      </vt:variant>
      <vt:variant>
        <vt:i4>12</vt:i4>
      </vt:variant>
      <vt:variant>
        <vt:i4>0</vt:i4>
      </vt:variant>
      <vt:variant>
        <vt:i4>5</vt:i4>
      </vt:variant>
      <vt:variant>
        <vt:lpwstr>https://onlinelibrary.wiley.com/doi/10.1111/hae.15005</vt:lpwstr>
      </vt:variant>
      <vt:variant>
        <vt:lpwstr/>
      </vt:variant>
      <vt:variant>
        <vt:i4>3145835</vt:i4>
      </vt:variant>
      <vt:variant>
        <vt:i4>9</vt:i4>
      </vt:variant>
      <vt:variant>
        <vt:i4>0</vt:i4>
      </vt:variant>
      <vt:variant>
        <vt:i4>5</vt:i4>
      </vt:variant>
      <vt:variant>
        <vt:lpwstr>https://www.sciencedirect.com/science/article/abs/pii/S0300571224001854?via%3Dihub</vt:lpwstr>
      </vt:variant>
      <vt:variant>
        <vt:lpwstr/>
      </vt:variant>
      <vt:variant>
        <vt:i4>3735652</vt:i4>
      </vt:variant>
      <vt:variant>
        <vt:i4>6</vt:i4>
      </vt:variant>
      <vt:variant>
        <vt:i4>0</vt:i4>
      </vt:variant>
      <vt:variant>
        <vt:i4>5</vt:i4>
      </vt:variant>
      <vt:variant>
        <vt:lpwstr>https://www.sciencedirect.com/science/article/abs/pii/S1010518224001355?via%3Dihub</vt:lpwstr>
      </vt:variant>
      <vt:variant>
        <vt:lpwstr/>
      </vt:variant>
      <vt:variant>
        <vt:i4>8192117</vt:i4>
      </vt:variant>
      <vt:variant>
        <vt:i4>3</vt:i4>
      </vt:variant>
      <vt:variant>
        <vt:i4>0</vt:i4>
      </vt:variant>
      <vt:variant>
        <vt:i4>5</vt:i4>
      </vt:variant>
      <vt:variant>
        <vt:lpwstr>https://www.sciencedirect.com/science/article/pii/S2468785524001770?via%3Dihub</vt:lpwstr>
      </vt:variant>
      <vt:variant>
        <vt:lpwstr/>
      </vt:variant>
      <vt:variant>
        <vt:i4>5111875</vt:i4>
      </vt:variant>
      <vt:variant>
        <vt:i4>0</vt:i4>
      </vt:variant>
      <vt:variant>
        <vt:i4>0</vt:i4>
      </vt:variant>
      <vt:variant>
        <vt:i4>5</vt:i4>
      </vt:variant>
      <vt:variant>
        <vt:lpwstr>http://kobson.nb.rs/nauka_u_srbiji.132.html?autor=Bajkin%20Branislav%20V&amp;amp;samoar&amp;amp;.WXA-D7axWUl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 Srdic Galic</dc:creator>
  <cp:keywords/>
  <cp:lastModifiedBy>milica.mircic</cp:lastModifiedBy>
  <cp:revision>15</cp:revision>
  <dcterms:created xsi:type="dcterms:W3CDTF">2024-10-16T11:01:00Z</dcterms:created>
  <dcterms:modified xsi:type="dcterms:W3CDTF">2025-07-29T09:57:00Z</dcterms:modified>
</cp:coreProperties>
</file>