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462"/>
        <w:gridCol w:w="1170"/>
        <w:gridCol w:w="1983"/>
        <w:gridCol w:w="630"/>
        <w:gridCol w:w="562"/>
        <w:gridCol w:w="1327"/>
        <w:gridCol w:w="88"/>
        <w:gridCol w:w="327"/>
        <w:gridCol w:w="1106"/>
        <w:gridCol w:w="9"/>
        <w:gridCol w:w="918"/>
        <w:gridCol w:w="920"/>
      </w:tblGrid>
      <w:tr w:rsidR="00DD7CCF" w:rsidRPr="005C32D7" w:rsidTr="00FE1010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:rsidR="00DD7CCF" w:rsidRPr="005C32D7" w:rsidRDefault="00DD7CCF" w:rsidP="00F612B6">
            <w:pPr>
              <w:spacing w:after="60"/>
              <w:rPr>
                <w:lang w:val="sr-Cyrl-CS"/>
              </w:rPr>
            </w:pPr>
            <w:r w:rsidRPr="005C32D7">
              <w:rPr>
                <w:b/>
                <w:lang w:val="sr-Cyrl-CS"/>
              </w:rPr>
              <w:t>Име и презиме</w:t>
            </w:r>
          </w:p>
        </w:tc>
        <w:tc>
          <w:tcPr>
            <w:tcW w:w="3559" w:type="pct"/>
            <w:gridSpan w:val="10"/>
            <w:vAlign w:val="center"/>
          </w:tcPr>
          <w:p w:rsidR="00DD7CCF" w:rsidRPr="005C32D7" w:rsidRDefault="008F3411" w:rsidP="003F177B">
            <w:pPr>
              <w:spacing w:after="60"/>
              <w:rPr>
                <w:lang w:val="sr-Cyrl-CS"/>
              </w:rPr>
            </w:pPr>
            <w:hyperlink r:id="rId5" w:history="1">
              <w:r w:rsidR="00DD7CCF" w:rsidRPr="005C32D7">
                <w:rPr>
                  <w:rStyle w:val="Hyperlink"/>
                  <w:lang w:val="sr-Cyrl-CS"/>
                </w:rPr>
                <w:t>Мирјана Бећаревић</w:t>
              </w:r>
            </w:hyperlink>
          </w:p>
        </w:tc>
      </w:tr>
      <w:tr w:rsidR="005C32D7" w:rsidRPr="005C32D7" w:rsidTr="00FE1010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b/>
                <w:lang w:val="sr-Cyrl-CS"/>
              </w:rPr>
              <w:t>Звање</w:t>
            </w:r>
          </w:p>
        </w:tc>
        <w:tc>
          <w:tcPr>
            <w:tcW w:w="3559" w:type="pct"/>
            <w:gridSpan w:val="10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Редовни професор</w:t>
            </w:r>
          </w:p>
        </w:tc>
      </w:tr>
      <w:tr w:rsidR="005C32D7" w:rsidRPr="005C32D7" w:rsidTr="00FE1010">
        <w:trPr>
          <w:trHeight w:val="227"/>
          <w:jc w:val="center"/>
        </w:trPr>
        <w:tc>
          <w:tcPr>
            <w:tcW w:w="1441" w:type="pct"/>
            <w:gridSpan w:val="3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59" w:type="pct"/>
            <w:gridSpan w:val="10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Фармација</w:t>
            </w: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29" w:type="pct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 xml:space="preserve">Година </w:t>
            </w:r>
          </w:p>
        </w:tc>
        <w:tc>
          <w:tcPr>
            <w:tcW w:w="2076" w:type="pct"/>
            <w:gridSpan w:val="5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 xml:space="preserve">Институција </w:t>
            </w:r>
          </w:p>
        </w:tc>
        <w:tc>
          <w:tcPr>
            <w:tcW w:w="1483" w:type="pct"/>
            <w:gridSpan w:val="5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Ужа научна, уметничка односно стручна област</w:t>
            </w: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Избор у звање</w:t>
            </w:r>
          </w:p>
        </w:tc>
        <w:tc>
          <w:tcPr>
            <w:tcW w:w="529" w:type="pct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2018.</w:t>
            </w:r>
          </w:p>
        </w:tc>
        <w:tc>
          <w:tcPr>
            <w:tcW w:w="2076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1483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Фармација</w:t>
            </w: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Докторат</w:t>
            </w:r>
          </w:p>
        </w:tc>
        <w:tc>
          <w:tcPr>
            <w:tcW w:w="529" w:type="pct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2007.</w:t>
            </w:r>
          </w:p>
        </w:tc>
        <w:tc>
          <w:tcPr>
            <w:tcW w:w="2076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Фармацеутски факултет Универзитета у Београду</w:t>
            </w:r>
          </w:p>
        </w:tc>
        <w:tc>
          <w:tcPr>
            <w:tcW w:w="1483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Фармација</w:t>
            </w:r>
          </w:p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(доктор фармацеутских наука)</w:t>
            </w: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</w:pPr>
            <w:r w:rsidRPr="005C32D7">
              <w:t>Магистратура</w:t>
            </w:r>
          </w:p>
        </w:tc>
        <w:tc>
          <w:tcPr>
            <w:tcW w:w="529" w:type="pct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2005.</w:t>
            </w:r>
          </w:p>
        </w:tc>
        <w:tc>
          <w:tcPr>
            <w:tcW w:w="2076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Фармацеутски факултет Универзитета у Београду</w:t>
            </w:r>
          </w:p>
        </w:tc>
        <w:tc>
          <w:tcPr>
            <w:tcW w:w="1483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Фармација</w:t>
            </w:r>
          </w:p>
          <w:p w:rsidR="005C32D7" w:rsidRPr="005C32D7" w:rsidRDefault="005C32D7" w:rsidP="005C32D7">
            <w:pPr>
              <w:rPr>
                <w:bCs/>
                <w:lang w:val="sr-Cyrl-CS"/>
              </w:rPr>
            </w:pP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</w:pPr>
            <w:r w:rsidRPr="005C32D7">
              <w:t>Мастер диплома</w:t>
            </w:r>
          </w:p>
        </w:tc>
        <w:tc>
          <w:tcPr>
            <w:tcW w:w="529" w:type="pct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</w:p>
        </w:tc>
        <w:tc>
          <w:tcPr>
            <w:tcW w:w="2076" w:type="pct"/>
            <w:gridSpan w:val="5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1483" w:type="pct"/>
            <w:gridSpan w:val="5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</w:p>
        </w:tc>
      </w:tr>
      <w:tr w:rsidR="005C32D7" w:rsidRPr="005C32D7" w:rsidTr="00605E89">
        <w:trPr>
          <w:trHeight w:val="227"/>
          <w:jc w:val="center"/>
        </w:trPr>
        <w:tc>
          <w:tcPr>
            <w:tcW w:w="912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Диплома</w:t>
            </w:r>
          </w:p>
        </w:tc>
        <w:tc>
          <w:tcPr>
            <w:tcW w:w="529" w:type="pct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2000.</w:t>
            </w:r>
          </w:p>
        </w:tc>
        <w:tc>
          <w:tcPr>
            <w:tcW w:w="2076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Фармацеутски факултет Универзитета у Београду</w:t>
            </w:r>
          </w:p>
        </w:tc>
        <w:tc>
          <w:tcPr>
            <w:tcW w:w="1483" w:type="pct"/>
            <w:gridSpan w:val="5"/>
          </w:tcPr>
          <w:p w:rsidR="005C32D7" w:rsidRPr="005C32D7" w:rsidRDefault="005C32D7" w:rsidP="005C32D7">
            <w:pPr>
              <w:rPr>
                <w:bCs/>
                <w:lang w:val="sr-Cyrl-CS"/>
              </w:rPr>
            </w:pPr>
            <w:r w:rsidRPr="005C32D7">
              <w:rPr>
                <w:bCs/>
                <w:lang w:val="sr-Cyrl-CS"/>
              </w:rPr>
              <w:t>Фармација</w:t>
            </w:r>
          </w:p>
          <w:p w:rsidR="005C32D7" w:rsidRPr="005C32D7" w:rsidRDefault="005C32D7" w:rsidP="005C32D7">
            <w:pPr>
              <w:rPr>
                <w:bCs/>
                <w:lang w:val="sr-Cyrl-CS"/>
              </w:rPr>
            </w:pPr>
          </w:p>
        </w:tc>
      </w:tr>
      <w:tr w:rsidR="005C32D7" w:rsidRPr="005C32D7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b/>
                <w:lang w:val="sr-Cyrl-CS"/>
              </w:rPr>
              <w:t>Списак дисертација</w:t>
            </w:r>
            <w:r w:rsidRPr="005C32D7">
              <w:rPr>
                <w:b/>
              </w:rPr>
              <w:t xml:space="preserve">-докторских уметничких пројеката </w:t>
            </w:r>
            <w:r w:rsidRPr="005C32D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C32D7" w:rsidRPr="005C32D7" w:rsidTr="00FE1010">
        <w:trPr>
          <w:trHeight w:val="227"/>
          <w:jc w:val="center"/>
        </w:trPr>
        <w:tc>
          <w:tcPr>
            <w:tcW w:w="251" w:type="pct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Р.Б.</w:t>
            </w:r>
          </w:p>
        </w:tc>
        <w:tc>
          <w:tcPr>
            <w:tcW w:w="2372" w:type="pct"/>
            <w:gridSpan w:val="4"/>
            <w:vAlign w:val="center"/>
          </w:tcPr>
          <w:p w:rsidR="005C32D7" w:rsidRPr="005C32D7" w:rsidRDefault="005C32D7" w:rsidP="005C32D7">
            <w:pPr>
              <w:spacing w:after="60"/>
            </w:pPr>
            <w:r w:rsidRPr="005C32D7">
              <w:rPr>
                <w:lang w:val="sr-Cyrl-CS"/>
              </w:rPr>
              <w:t>Наслов дисертације</w:t>
            </w:r>
            <w:r w:rsidRPr="005C32D7">
              <w:t xml:space="preserve">- докторског уметничког пројекта </w:t>
            </w:r>
          </w:p>
        </w:tc>
        <w:tc>
          <w:tcPr>
            <w:tcW w:w="854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Име кандидата</w:t>
            </w:r>
          </w:p>
        </w:tc>
        <w:tc>
          <w:tcPr>
            <w:tcW w:w="692" w:type="pct"/>
            <w:gridSpan w:val="4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 xml:space="preserve">*пријављена </w:t>
            </w:r>
          </w:p>
        </w:tc>
        <w:tc>
          <w:tcPr>
            <w:tcW w:w="831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** одбрањена</w:t>
            </w:r>
          </w:p>
        </w:tc>
      </w:tr>
      <w:tr w:rsidR="005C32D7" w:rsidRPr="005C32D7" w:rsidTr="00FE1010">
        <w:trPr>
          <w:trHeight w:val="227"/>
          <w:jc w:val="center"/>
        </w:trPr>
        <w:tc>
          <w:tcPr>
            <w:tcW w:w="251" w:type="pct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1.</w:t>
            </w:r>
          </w:p>
        </w:tc>
        <w:tc>
          <w:tcPr>
            <w:tcW w:w="2372" w:type="pct"/>
            <w:gridSpan w:val="4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ИМУНОХРОМАТОГРАФСКИ ТЕСТ У ДИФЕРЕНЦИЈАЛНОЈ ЛАБОРАТОРИЈСКОЈ ДИЈАГНОСТИЦИ ТУБЕРКУЛОЗЕ ПЛУЋА</w:t>
            </w:r>
          </w:p>
        </w:tc>
        <w:tc>
          <w:tcPr>
            <w:tcW w:w="854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Тијана Савковић</w:t>
            </w:r>
          </w:p>
        </w:tc>
        <w:tc>
          <w:tcPr>
            <w:tcW w:w="692" w:type="pct"/>
            <w:gridSpan w:val="4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2016.</w:t>
            </w:r>
          </w:p>
        </w:tc>
      </w:tr>
      <w:tr w:rsidR="005C32D7" w:rsidRPr="005C32D7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32D7" w:rsidRPr="005C32D7" w:rsidRDefault="005C32D7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*Година  у којој је дисертација</w:t>
            </w:r>
            <w:r w:rsidRPr="005C32D7">
              <w:t xml:space="preserve">-докторски уметнички пројекат </w:t>
            </w:r>
            <w:r w:rsidRPr="005C32D7">
              <w:rPr>
                <w:lang w:val="sr-Cyrl-CS"/>
              </w:rPr>
              <w:t xml:space="preserve"> пријављена</w:t>
            </w:r>
            <w:r w:rsidRPr="005C32D7">
              <w:t xml:space="preserve">-пријављен </w:t>
            </w:r>
            <w:r w:rsidRPr="005C32D7">
              <w:rPr>
                <w:lang w:val="sr-Cyrl-CS"/>
              </w:rPr>
              <w:t>(само за дисертације</w:t>
            </w:r>
            <w:r w:rsidRPr="005C32D7">
              <w:t xml:space="preserve">-докторске уметничке пројекте </w:t>
            </w:r>
            <w:r w:rsidRPr="005C32D7">
              <w:rPr>
                <w:lang w:val="sr-Cyrl-CS"/>
              </w:rPr>
              <w:t xml:space="preserve"> које су у току), ** Година у којој је дисертација</w:t>
            </w:r>
            <w:r w:rsidRPr="005C32D7">
              <w:t xml:space="preserve">-докторски уметнички пројекат </w:t>
            </w:r>
            <w:r w:rsidRPr="005C32D7">
              <w:rPr>
                <w:lang w:val="sr-Cyrl-CS"/>
              </w:rPr>
              <w:t xml:space="preserve"> одбрањена (само за дисертације</w:t>
            </w:r>
            <w:r w:rsidRPr="005C32D7">
              <w:t xml:space="preserve">-докторско уметничке пројекте </w:t>
            </w:r>
            <w:r w:rsidRPr="005C32D7">
              <w:rPr>
                <w:lang w:val="sr-Cyrl-CS"/>
              </w:rPr>
              <w:t xml:space="preserve"> из ранијег периода)</w:t>
            </w:r>
          </w:p>
        </w:tc>
      </w:tr>
      <w:tr w:rsidR="005C32D7" w:rsidRPr="005C32D7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32D7" w:rsidRPr="005C32D7" w:rsidRDefault="005C32D7" w:rsidP="00605E89">
            <w:pPr>
              <w:spacing w:after="60"/>
              <w:rPr>
                <w:b/>
              </w:rPr>
            </w:pPr>
            <w:r w:rsidRPr="005C32D7">
              <w:rPr>
                <w:b/>
                <w:lang w:val="sr-Cyrl-CS"/>
              </w:rPr>
              <w:t>Категоризација публикације</w:t>
            </w:r>
            <w:r w:rsidRPr="005C32D7">
              <w:rPr>
                <w:b/>
              </w:rPr>
              <w:t xml:space="preserve"> научних радова  из области датог студијског програма </w:t>
            </w:r>
            <w:r w:rsidRPr="005C32D7">
              <w:rPr>
                <w:b/>
                <w:lang w:val="sr-Cyrl-CS"/>
              </w:rPr>
              <w:t xml:space="preserve"> према класификацији ре</w:t>
            </w:r>
            <w:r w:rsidRPr="005C32D7">
              <w:rPr>
                <w:b/>
              </w:rPr>
              <w:t>с</w:t>
            </w:r>
            <w:r w:rsidRPr="005C32D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C32D7" w:rsidRPr="005C32D7" w:rsidTr="005C32D7">
        <w:trPr>
          <w:trHeight w:val="227"/>
          <w:jc w:val="center"/>
        </w:trPr>
        <w:tc>
          <w:tcPr>
            <w:tcW w:w="251" w:type="pct"/>
            <w:vAlign w:val="center"/>
          </w:tcPr>
          <w:p w:rsidR="005C32D7" w:rsidRPr="005C32D7" w:rsidRDefault="005C32D7" w:rsidP="005C32D7">
            <w:pPr>
              <w:spacing w:after="60"/>
              <w:ind w:left="-23"/>
              <w:jc w:val="center"/>
            </w:pPr>
            <w:r w:rsidRPr="005C32D7">
              <w:t>Р.б.</w:t>
            </w:r>
          </w:p>
        </w:tc>
        <w:tc>
          <w:tcPr>
            <w:tcW w:w="3414" w:type="pct"/>
            <w:gridSpan w:val="8"/>
          </w:tcPr>
          <w:p w:rsidR="005C32D7" w:rsidRPr="005C32D7" w:rsidRDefault="005C32D7" w:rsidP="005C32D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C32D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0" w:type="pct"/>
          </w:tcPr>
          <w:p w:rsidR="005C32D7" w:rsidRPr="005C32D7" w:rsidRDefault="005C32D7" w:rsidP="005C32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32D7">
              <w:rPr>
                <w:sz w:val="20"/>
                <w:szCs w:val="20"/>
              </w:rPr>
              <w:t>ISI</w:t>
            </w:r>
          </w:p>
        </w:tc>
        <w:tc>
          <w:tcPr>
            <w:tcW w:w="419" w:type="pct"/>
            <w:gridSpan w:val="2"/>
          </w:tcPr>
          <w:p w:rsidR="005C32D7" w:rsidRPr="005C32D7" w:rsidRDefault="005C32D7" w:rsidP="005C32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32D7">
              <w:rPr>
                <w:sz w:val="20"/>
                <w:szCs w:val="20"/>
              </w:rPr>
              <w:t>M</w:t>
            </w:r>
          </w:p>
        </w:tc>
        <w:tc>
          <w:tcPr>
            <w:tcW w:w="416" w:type="pct"/>
          </w:tcPr>
          <w:p w:rsidR="005C32D7" w:rsidRPr="005C32D7" w:rsidRDefault="005C32D7" w:rsidP="005C32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32D7">
              <w:rPr>
                <w:sz w:val="20"/>
                <w:szCs w:val="20"/>
              </w:rPr>
              <w:t>IF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1.</w:t>
            </w:r>
          </w:p>
        </w:tc>
        <w:tc>
          <w:tcPr>
            <w:tcW w:w="3414" w:type="pct"/>
            <w:gridSpan w:val="8"/>
          </w:tcPr>
          <w:p w:rsidR="00524525" w:rsidRPr="00B867B1" w:rsidRDefault="00524525" w:rsidP="00683D2A">
            <w:pPr>
              <w:contextualSpacing/>
              <w:jc w:val="both"/>
              <w:rPr>
                <w:rFonts w:eastAsia="Calibri"/>
                <w:bCs/>
              </w:rPr>
            </w:pPr>
            <w:r w:rsidRPr="00B867B1">
              <w:rPr>
                <w:rFonts w:eastAsia="Calibri"/>
                <w:b/>
                <w:bCs/>
              </w:rPr>
              <w:t>Bećarević M</w:t>
            </w:r>
            <w:r>
              <w:rPr>
                <w:rFonts w:eastAsia="Calibri"/>
                <w:bCs/>
              </w:rPr>
              <w:t>, Jovičić S, Ignjatović S</w:t>
            </w:r>
            <w:r w:rsidRPr="00B867B1">
              <w:rPr>
                <w:rFonts w:eastAsia="Calibri"/>
                <w:bCs/>
              </w:rPr>
              <w:t>, Mirković D</w:t>
            </w:r>
            <w:r w:rsidR="008F3411">
              <w:rPr>
                <w:rFonts w:eastAsia="Calibri"/>
                <w:bCs/>
              </w:rPr>
              <w:fldChar w:fldCharType="begin"/>
            </w:r>
            <w:r>
              <w:rPr>
                <w:rFonts w:eastAsia="Calibri"/>
                <w:bCs/>
              </w:rPr>
              <w:instrText xml:space="preserve"> HYPERLINK "https://www.ncbi.nlm.nih.gov/pmc/articles/PMC9618332/" </w:instrText>
            </w:r>
            <w:r w:rsidR="008F3411">
              <w:rPr>
                <w:rFonts w:eastAsia="Calibri"/>
                <w:bCs/>
              </w:rPr>
              <w:fldChar w:fldCharType="separate"/>
            </w:r>
            <w:r w:rsidRPr="00B867B1">
              <w:rPr>
                <w:rStyle w:val="Hyperlink"/>
                <w:rFonts w:eastAsia="Calibri"/>
                <w:bCs/>
              </w:rPr>
              <w:t>. Antiphospholipid antibodies in healthy Serbian middle-aged subjects: Preliminary data</w:t>
            </w:r>
            <w:r w:rsidR="008F3411">
              <w:rPr>
                <w:rFonts w:eastAsia="Calibri"/>
                <w:bCs/>
              </w:rPr>
              <w:fldChar w:fldCharType="end"/>
            </w:r>
            <w:r w:rsidRPr="00B867B1">
              <w:rPr>
                <w:rFonts w:eastAsia="Calibri"/>
                <w:bCs/>
              </w:rPr>
              <w:t xml:space="preserve">. J Med </w:t>
            </w:r>
            <w:r w:rsidR="00477A12">
              <w:rPr>
                <w:rFonts w:eastAsia="Calibri"/>
                <w:bCs/>
              </w:rPr>
              <w:t>Biochem. 2022 Oct 15;41(4):506-</w:t>
            </w:r>
            <w:r w:rsidRPr="00B867B1">
              <w:rPr>
                <w:rFonts w:eastAsia="Calibri"/>
                <w:bCs/>
              </w:rPr>
              <w:t>12.</w:t>
            </w:r>
          </w:p>
        </w:tc>
        <w:tc>
          <w:tcPr>
            <w:tcW w:w="500" w:type="pct"/>
          </w:tcPr>
          <w:p w:rsidR="00524525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524525" w:rsidRPr="00B867B1" w:rsidTr="00B867B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524525" w:rsidRPr="00B867B1" w:rsidRDefault="00524525" w:rsidP="00B867B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524525" w:rsidRPr="00B867B1" w:rsidRDefault="00524525" w:rsidP="00B867B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867B1">
                    <w:rPr>
                      <w:rFonts w:eastAsia="Times New Roman"/>
                      <w:lang w:val="en-US" w:eastAsia="en-US"/>
                    </w:rPr>
                    <w:t>227/285</w:t>
                  </w:r>
                </w:p>
              </w:tc>
            </w:tr>
          </w:tbl>
          <w:p w:rsidR="00524525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</w:tcPr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pct"/>
          </w:tcPr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867B1">
              <w:rPr>
                <w:sz w:val="20"/>
                <w:szCs w:val="20"/>
              </w:rPr>
              <w:t>2.5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Pr="00605E89" w:rsidRDefault="00524525" w:rsidP="00F612B6">
            <w:pPr>
              <w:jc w:val="center"/>
            </w:pPr>
            <w:r>
              <w:t>2.</w:t>
            </w:r>
          </w:p>
        </w:tc>
        <w:tc>
          <w:tcPr>
            <w:tcW w:w="3414" w:type="pct"/>
            <w:gridSpan w:val="8"/>
          </w:tcPr>
          <w:p w:rsidR="00524525" w:rsidRPr="00B867B1" w:rsidRDefault="00524525" w:rsidP="00683D2A">
            <w:pPr>
              <w:contextualSpacing/>
              <w:jc w:val="both"/>
              <w:rPr>
                <w:rFonts w:eastAsia="Calibri"/>
                <w:bCs/>
              </w:rPr>
            </w:pPr>
            <w:r w:rsidRPr="00B867B1">
              <w:rPr>
                <w:rFonts w:eastAsia="Calibri"/>
                <w:b/>
                <w:bCs/>
              </w:rPr>
              <w:t>Bećarević M</w:t>
            </w:r>
            <w:r>
              <w:rPr>
                <w:rFonts w:eastAsia="Calibri"/>
                <w:bCs/>
              </w:rPr>
              <w:t>, Matutinović M, Žarković M, Beleslin B, Ćirić J, Ignjatović S</w:t>
            </w:r>
            <w:r w:rsidRPr="00B867B1">
              <w:rPr>
                <w:rFonts w:eastAsia="Calibri"/>
                <w:bCs/>
              </w:rPr>
              <w:t xml:space="preserve">. </w:t>
            </w:r>
            <w:hyperlink r:id="rId6" w:history="1">
              <w:r w:rsidRPr="00B867B1">
                <w:rPr>
                  <w:rStyle w:val="Hyperlink"/>
                  <w:rFonts w:eastAsia="Calibri"/>
                  <w:bCs/>
                </w:rPr>
                <w:t>Antiphospholipid antibodies in patients with Graves' orbitopathy: preliminary data</w:t>
              </w:r>
            </w:hyperlink>
            <w:r w:rsidRPr="00B867B1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Endocrine. 2021 Nov;74(2):349-</w:t>
            </w:r>
            <w:r w:rsidRPr="00B867B1">
              <w:rPr>
                <w:rFonts w:eastAsia="Calibri"/>
                <w:bCs/>
              </w:rPr>
              <w:t>54.</w:t>
            </w:r>
          </w:p>
        </w:tc>
        <w:tc>
          <w:tcPr>
            <w:tcW w:w="500" w:type="pct"/>
          </w:tcPr>
          <w:p w:rsidR="00524525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4525" w:rsidRPr="00683D2A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867B1">
              <w:rPr>
                <w:sz w:val="20"/>
                <w:szCs w:val="20"/>
              </w:rPr>
              <w:t>79/147</w:t>
            </w:r>
          </w:p>
        </w:tc>
        <w:tc>
          <w:tcPr>
            <w:tcW w:w="419" w:type="pct"/>
            <w:gridSpan w:val="2"/>
          </w:tcPr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4525" w:rsidRPr="00683D2A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pct"/>
          </w:tcPr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81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15"/>
            </w:tblGrid>
            <w:tr w:rsidR="00524525" w:rsidRPr="00B867B1" w:rsidTr="00B867B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524525" w:rsidRPr="00B867B1" w:rsidRDefault="00524525" w:rsidP="00B867B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670" w:type="dxa"/>
                  <w:vAlign w:val="center"/>
                  <w:hideMark/>
                </w:tcPr>
                <w:p w:rsidR="00524525" w:rsidRPr="00B867B1" w:rsidRDefault="00524525" w:rsidP="00B867B1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B867B1">
                    <w:rPr>
                      <w:rFonts w:eastAsia="Times New Roman"/>
                      <w:lang w:val="en-US" w:eastAsia="en-US"/>
                    </w:rPr>
                    <w:t>3.925</w:t>
                  </w:r>
                </w:p>
              </w:tc>
            </w:tr>
          </w:tbl>
          <w:p w:rsidR="00524525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3.</w:t>
            </w:r>
          </w:p>
        </w:tc>
        <w:tc>
          <w:tcPr>
            <w:tcW w:w="3414" w:type="pct"/>
            <w:gridSpan w:val="8"/>
          </w:tcPr>
          <w:p w:rsidR="00524525" w:rsidRPr="00683D2A" w:rsidRDefault="00524525" w:rsidP="00683D2A">
            <w:pPr>
              <w:contextualSpacing/>
              <w:jc w:val="both"/>
            </w:pPr>
            <w:r w:rsidRPr="00683D2A">
              <w:rPr>
                <w:rFonts w:eastAsia="Calibri"/>
                <w:b/>
                <w:bCs/>
              </w:rPr>
              <w:t>Bećarević M</w:t>
            </w:r>
            <w:r w:rsidR="009E76F6">
              <w:rPr>
                <w:rFonts w:eastAsia="Calibri"/>
                <w:bCs/>
              </w:rPr>
              <w:t>, Nikolić B, Ignjatović S</w:t>
            </w:r>
            <w:r w:rsidRPr="00683D2A">
              <w:rPr>
                <w:rFonts w:eastAsia="Calibri"/>
                <w:bCs/>
              </w:rPr>
              <w:t xml:space="preserve">. </w:t>
            </w:r>
            <w:r w:rsidR="008F3411">
              <w:rPr>
                <w:rFonts w:eastAsia="Calibri"/>
                <w:bCs/>
              </w:rPr>
              <w:fldChar w:fldCharType="begin"/>
            </w:r>
            <w:r>
              <w:rPr>
                <w:rFonts w:eastAsia="Calibri"/>
                <w:bCs/>
              </w:rPr>
              <w:instrText xml:space="preserve"> HYPERLINK "https://ezproxy.nb.rs:2078/article/10.1007/s00296-019-04349-x" </w:instrText>
            </w:r>
            <w:r w:rsidR="008F3411">
              <w:rPr>
                <w:rFonts w:eastAsia="Calibri"/>
                <w:bCs/>
              </w:rPr>
              <w:fldChar w:fldCharType="separate"/>
            </w:r>
            <w:r w:rsidRPr="00502759">
              <w:rPr>
                <w:rStyle w:val="Hyperlink"/>
                <w:rFonts w:eastAsia="Calibri"/>
                <w:bCs/>
              </w:rPr>
              <w:t>Adiponectin: a therapeutic target in the antiphospholipid syndrome</w:t>
            </w:r>
            <w:r w:rsidR="008F3411">
              <w:rPr>
                <w:rFonts w:eastAsia="Calibri"/>
                <w:bCs/>
              </w:rPr>
              <w:fldChar w:fldCharType="end"/>
            </w:r>
            <w:r w:rsidRPr="00683D2A">
              <w:rPr>
                <w:rFonts w:eastAsia="Calibri"/>
                <w:bCs/>
              </w:rPr>
              <w:t>? Rheumatol Int. 2019:</w:t>
            </w:r>
            <w:r w:rsidRPr="00683D2A">
              <w:rPr>
                <w:rFonts w:eastAsia="Calibri"/>
                <w:lang w:val="en-US"/>
              </w:rPr>
              <w:t>39(9):1519–25.</w:t>
            </w:r>
          </w:p>
        </w:tc>
        <w:tc>
          <w:tcPr>
            <w:tcW w:w="500" w:type="pct"/>
          </w:tcPr>
          <w:p w:rsidR="00524525" w:rsidRPr="00683D2A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83D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683D2A">
              <w:rPr>
                <w:sz w:val="20"/>
                <w:szCs w:val="20"/>
              </w:rPr>
              <w:t>/32</w:t>
            </w:r>
          </w:p>
        </w:tc>
        <w:tc>
          <w:tcPr>
            <w:tcW w:w="419" w:type="pct"/>
            <w:gridSpan w:val="2"/>
          </w:tcPr>
          <w:p w:rsidR="00524525" w:rsidRPr="00683D2A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83D2A">
              <w:rPr>
                <w:sz w:val="20"/>
                <w:szCs w:val="20"/>
              </w:rPr>
              <w:t>23</w:t>
            </w:r>
          </w:p>
        </w:tc>
        <w:tc>
          <w:tcPr>
            <w:tcW w:w="416" w:type="pct"/>
          </w:tcPr>
          <w:p w:rsidR="00524525" w:rsidRPr="00683D2A" w:rsidRDefault="00524525" w:rsidP="00F612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1.984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4.</w:t>
            </w:r>
          </w:p>
        </w:tc>
        <w:tc>
          <w:tcPr>
            <w:tcW w:w="3414" w:type="pct"/>
            <w:gridSpan w:val="8"/>
          </w:tcPr>
          <w:p w:rsidR="00524525" w:rsidRPr="00502759" w:rsidRDefault="00524525" w:rsidP="00502759">
            <w:pPr>
              <w:contextualSpacing/>
              <w:jc w:val="both"/>
            </w:pPr>
            <w:r w:rsidRPr="00502759">
              <w:rPr>
                <w:rFonts w:eastAsia="Calibri"/>
                <w:b/>
              </w:rPr>
              <w:t>Bećarević M</w:t>
            </w:r>
            <w:r w:rsidRPr="00502759">
              <w:rPr>
                <w:rFonts w:eastAsia="Calibri"/>
              </w:rPr>
              <w:t xml:space="preserve">, Sarić M, Stojanovich Lj, Mirković D, Dopsaj V, Ignjatović S. </w:t>
            </w:r>
            <w:r w:rsidR="008F3411"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"https://ezproxy.nb.rs:2078/article/10.1007%2Fs10067-018-4170-7" </w:instrText>
            </w:r>
            <w:r w:rsidR="008F3411">
              <w:rPr>
                <w:rFonts w:eastAsia="Calibri"/>
              </w:rPr>
              <w:fldChar w:fldCharType="separate"/>
            </w:r>
            <w:r w:rsidRPr="00502759">
              <w:rPr>
                <w:rStyle w:val="Hyperlink"/>
                <w:rFonts w:eastAsia="Calibri"/>
              </w:rPr>
              <w:t>Anti-annexin A5 antibodies and 25-hydroxy-cholecalciferol in female patients with primary antiphospholipid syndrome</w:t>
            </w:r>
            <w:r w:rsidR="008F3411">
              <w:rPr>
                <w:rFonts w:eastAsia="Calibri"/>
              </w:rPr>
              <w:fldChar w:fldCharType="end"/>
            </w:r>
            <w:r w:rsidRPr="00502759">
              <w:rPr>
                <w:rFonts w:eastAsia="Calibri"/>
              </w:rPr>
              <w:t xml:space="preserve">. Clin Rheumatol. 2018;37(12):3359-64. </w:t>
            </w:r>
          </w:p>
        </w:tc>
        <w:tc>
          <w:tcPr>
            <w:tcW w:w="500" w:type="pct"/>
          </w:tcPr>
          <w:p w:rsidR="00524525" w:rsidRPr="00502759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02759">
              <w:rPr>
                <w:sz w:val="20"/>
                <w:szCs w:val="20"/>
              </w:rPr>
              <w:t>20/31</w:t>
            </w:r>
          </w:p>
        </w:tc>
        <w:tc>
          <w:tcPr>
            <w:tcW w:w="419" w:type="pct"/>
            <w:gridSpan w:val="2"/>
          </w:tcPr>
          <w:p w:rsidR="00524525" w:rsidRPr="00502759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02759">
              <w:rPr>
                <w:sz w:val="20"/>
                <w:szCs w:val="20"/>
              </w:rPr>
              <w:t>23</w:t>
            </w:r>
          </w:p>
        </w:tc>
        <w:tc>
          <w:tcPr>
            <w:tcW w:w="416" w:type="pct"/>
          </w:tcPr>
          <w:p w:rsidR="00524525" w:rsidRPr="00502759" w:rsidRDefault="00524525" w:rsidP="0050275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02759">
              <w:rPr>
                <w:sz w:val="20"/>
                <w:szCs w:val="20"/>
              </w:rPr>
              <w:t>2.293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Pr="00605E89" w:rsidRDefault="00524525" w:rsidP="00F612B6">
            <w:pPr>
              <w:jc w:val="center"/>
            </w:pPr>
            <w:r>
              <w:t>5</w:t>
            </w:r>
            <w:r w:rsidRPr="00605E89">
              <w:t>.</w:t>
            </w:r>
          </w:p>
        </w:tc>
        <w:tc>
          <w:tcPr>
            <w:tcW w:w="3414" w:type="pct"/>
            <w:gridSpan w:val="8"/>
          </w:tcPr>
          <w:p w:rsidR="00524525" w:rsidRPr="00502759" w:rsidRDefault="00524525" w:rsidP="00502759">
            <w:pPr>
              <w:contextualSpacing/>
              <w:jc w:val="both"/>
              <w:rPr>
                <w:rFonts w:eastAsia="Calibri"/>
                <w:b/>
              </w:rPr>
            </w:pPr>
            <w:r w:rsidRPr="00605E89">
              <w:t xml:space="preserve">Nikolić B, Popović J, </w:t>
            </w:r>
            <w:r w:rsidRPr="00605E89">
              <w:rPr>
                <w:b/>
              </w:rPr>
              <w:t>Bećarević M</w:t>
            </w:r>
            <w:r w:rsidRPr="00605E89">
              <w:t xml:space="preserve">, Rakić D. </w:t>
            </w:r>
            <w:r w:rsidR="008F3411" w:rsidRPr="00605E89">
              <w:fldChar w:fldCharType="begin"/>
            </w:r>
            <w:r w:rsidRPr="00605E89">
              <w:instrText xml:space="preserve"> HYPERLINK "http://www.doiserbia.nb.rs/img/doi/0042-8450/2017%20OnLine-First/0042-84501600383N.pdf" </w:instrText>
            </w:r>
            <w:r w:rsidR="008F3411" w:rsidRPr="00605E89">
              <w:fldChar w:fldCharType="separate"/>
            </w:r>
            <w:r w:rsidRPr="00605E89">
              <w:rPr>
                <w:rStyle w:val="Hyperlink"/>
              </w:rPr>
              <w:t>Exposure to potential drug-antimicrobial agent interactions in primary health care</w:t>
            </w:r>
            <w:r w:rsidR="008F3411" w:rsidRPr="00605E89">
              <w:fldChar w:fldCharType="end"/>
            </w:r>
            <w:r w:rsidRPr="00605E89">
              <w:t xml:space="preserve">. Vojnosanit Pregl. 2018;75(8):795-802.  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155/160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0.272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6.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ind w:left="7" w:right="511"/>
              <w:jc w:val="both"/>
              <w:rPr>
                <w:lang w:val="en-US"/>
              </w:rPr>
            </w:pPr>
            <w:r w:rsidRPr="00605E89">
              <w:rPr>
                <w:b/>
              </w:rPr>
              <w:t>Bećarević M.</w:t>
            </w:r>
            <w:r w:rsidRPr="00605E89">
              <w:t xml:space="preserve"> </w:t>
            </w:r>
            <w:hyperlink r:id="rId7" w:history="1">
              <w:r w:rsidRPr="00605E89">
                <w:rPr>
                  <w:rStyle w:val="Hyperlink"/>
                  <w:lang w:val="en-US"/>
                </w:rPr>
                <w:t xml:space="preserve">Antibodies against complement components: relevance for the </w:t>
              </w:r>
              <w:proofErr w:type="spellStart"/>
              <w:r w:rsidRPr="00605E89">
                <w:rPr>
                  <w:rStyle w:val="Hyperlink"/>
                  <w:lang w:val="en-US"/>
                </w:rPr>
                <w:t>antiphospholipid</w:t>
              </w:r>
              <w:proofErr w:type="spellEnd"/>
              <w:r w:rsidRPr="00605E89">
                <w:rPr>
                  <w:rStyle w:val="Hyperlink"/>
                  <w:lang w:val="en-US"/>
                </w:rPr>
                <w:t xml:space="preserve"> syndrome-biomarkers of the disease and biopharmaceuticals</w:t>
              </w:r>
            </w:hyperlink>
            <w:r w:rsidRPr="00605E89">
              <w:rPr>
                <w:lang w:val="en-US"/>
              </w:rPr>
              <w:t>.</w:t>
            </w:r>
          </w:p>
          <w:p w:rsidR="00524525" w:rsidRPr="00605E89" w:rsidRDefault="00524525" w:rsidP="00E11826">
            <w:pPr>
              <w:contextualSpacing/>
              <w:jc w:val="both"/>
            </w:pPr>
            <w:proofErr w:type="spellStart"/>
            <w:r w:rsidRPr="00605E89">
              <w:rPr>
                <w:lang w:val="en-US"/>
              </w:rPr>
              <w:t>Curr</w:t>
            </w:r>
            <w:proofErr w:type="spellEnd"/>
            <w:r w:rsidRPr="00605E89">
              <w:rPr>
                <w:lang w:val="en-US"/>
              </w:rPr>
              <w:t xml:space="preserve"> </w:t>
            </w:r>
            <w:proofErr w:type="spellStart"/>
            <w:r w:rsidRPr="00605E89">
              <w:rPr>
                <w:lang w:val="en-US"/>
              </w:rPr>
              <w:t>Rheumatol</w:t>
            </w:r>
            <w:proofErr w:type="spellEnd"/>
            <w:r w:rsidRPr="00605E89">
              <w:rPr>
                <w:lang w:val="en-US"/>
              </w:rPr>
              <w:t xml:space="preserve"> Rep. 2017</w:t>
            </w:r>
            <w:proofErr w:type="gramStart"/>
            <w:r w:rsidRPr="00605E89">
              <w:rPr>
                <w:lang w:val="en-US"/>
              </w:rPr>
              <w:t>;19:40</w:t>
            </w:r>
            <w:proofErr w:type="gramEnd"/>
            <w:r w:rsidRPr="00605E89">
              <w:rPr>
                <w:lang w:val="en-US"/>
              </w:rPr>
              <w:t>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16/31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</w:p>
          <w:p w:rsidR="00524525" w:rsidRPr="00605E89" w:rsidRDefault="00524525" w:rsidP="00F612B6">
            <w:pPr>
              <w:jc w:val="center"/>
            </w:pPr>
            <w:r w:rsidRPr="00605E89">
              <w:t>22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3.079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7.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</w:pPr>
            <w:r w:rsidRPr="00605E89">
              <w:rPr>
                <w:b/>
              </w:rPr>
              <w:t>Bećarević M.</w:t>
            </w:r>
            <w:r w:rsidRPr="00605E89">
              <w:t xml:space="preserve"> </w:t>
            </w:r>
            <w:hyperlink r:id="rId8" w:history="1">
              <w:r w:rsidRPr="00605E89">
                <w:rPr>
                  <w:rStyle w:val="Hyperlink"/>
                </w:rPr>
                <w:t>Detrimental roles of TNF-alpha in the antiphospholipid syndrome and de novo synthesis of antiphospholipid antibodies induced by biopharmaceuticals against TNF-alpha</w:t>
              </w:r>
            </w:hyperlink>
            <w:r w:rsidRPr="00605E89">
              <w:t>. J Thromb Thrombolysis. 2017;44(4):565-70.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35/71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22</w:t>
            </w: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2.620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8.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rPr>
                <w:b/>
              </w:rPr>
              <w:t>Bećarević M</w:t>
            </w:r>
            <w:r w:rsidRPr="00605E89">
              <w:t xml:space="preserve">, Čabarkapa V, Đerić M, Ignjatović S. </w:t>
            </w:r>
            <w:hyperlink r:id="rId9" w:history="1">
              <w:r w:rsidRPr="00605E89">
                <w:rPr>
                  <w:rStyle w:val="Hyperlink"/>
                </w:rPr>
                <w:t>Antiphospholipid antibodies and   renal impairment parameters in diabetic nephropathy: preliminary data</w:t>
              </w:r>
            </w:hyperlink>
            <w:r w:rsidRPr="00605E89">
              <w:t>. Clin Appl Thromb Hemost. 2017;23(4):379-83.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52/71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1.852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9.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t xml:space="preserve">Poša M, Pilipović A, </w:t>
            </w:r>
            <w:r w:rsidRPr="00605E89">
              <w:rPr>
                <w:b/>
              </w:rPr>
              <w:t>Becarević M</w:t>
            </w:r>
            <w:r w:rsidRPr="00605E89">
              <w:t xml:space="preserve">, Farkaš Z. </w:t>
            </w:r>
            <w:hyperlink r:id="rId10" w:history="1">
              <w:r w:rsidRPr="00605E89">
                <w:rPr>
                  <w:rStyle w:val="Hyperlink"/>
                </w:rPr>
                <w:t>pKa values of hyodeoxycholic and cholic acids in the binary mixed micelles sodium-hyodeoxycholate–Tween 40 and sodium-</w:t>
              </w:r>
              <w:r w:rsidRPr="00605E89">
                <w:rPr>
                  <w:rStyle w:val="Hyperlink"/>
                </w:rPr>
                <w:lastRenderedPageBreak/>
                <w:t>cholate–Tween 40: Thermodynamic stability of the micelle and the cooperative hydrogen bond formation with the steroid skeleton</w:t>
              </w:r>
            </w:hyperlink>
            <w:r w:rsidRPr="00605E89">
              <w:t>. Steroids. 2017;117:62-70.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lastRenderedPageBreak/>
              <w:t>175/291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2.523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rPr>
                <w:b/>
              </w:rPr>
              <w:t>Bećarević M</w:t>
            </w:r>
            <w:r w:rsidRPr="00605E89">
              <w:t xml:space="preserve">, Mirković D, Ignjatović S. </w:t>
            </w:r>
            <w:hyperlink r:id="rId11" w:history="1">
              <w:r w:rsidRPr="00605E89">
                <w:rPr>
                  <w:rStyle w:val="Hyperlink"/>
                </w:rPr>
                <w:t>Double positivity of the IgG isotype of both anticardiolipin and anti-β2gpI antibodies is associated with the highest number of vascular impairment parameters in patients with primary antiphospholipid syndrome: preliminary data</w:t>
              </w:r>
            </w:hyperlink>
            <w:r w:rsidRPr="00605E89">
              <w:t>. Clin Rheumatol. 2016;35(12):2947-54.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19/30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</w:p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2.365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11.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F612B6">
            <w:pPr>
              <w:ind w:left="42"/>
              <w:jc w:val="both"/>
              <w:rPr>
                <w:b/>
              </w:rPr>
            </w:pPr>
            <w:r w:rsidRPr="00605E89">
              <w:rPr>
                <w:b/>
              </w:rPr>
              <w:t>Bećarević M</w:t>
            </w:r>
            <w:r w:rsidRPr="00605E89">
              <w:t xml:space="preserve">. </w:t>
            </w:r>
            <w:hyperlink r:id="rId12" w:history="1">
              <w:r w:rsidRPr="00605E89">
                <w:rPr>
                  <w:rStyle w:val="Hyperlink"/>
                </w:rPr>
                <w:t>TNF-alpha and annexin A2: inflammation in thrombotic primary antiphospholipid syndrome</w:t>
              </w:r>
            </w:hyperlink>
            <w:r w:rsidRPr="00605E89">
              <w:t>. Rheum Int. 2016;36(12):1649-56.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21/30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1.824</w:t>
            </w:r>
          </w:p>
          <w:p w:rsidR="00524525" w:rsidRPr="00605E89" w:rsidRDefault="00524525" w:rsidP="00F612B6">
            <w:pPr>
              <w:jc w:val="center"/>
            </w:pP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12.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rPr>
                <w:b/>
              </w:rPr>
              <w:t>Bećarević M</w:t>
            </w:r>
            <w:r w:rsidRPr="00605E89">
              <w:t xml:space="preserve">, Ignjatović S. </w:t>
            </w:r>
            <w:hyperlink r:id="rId13" w:history="1">
              <w:r w:rsidRPr="00605E89">
                <w:rPr>
                  <w:rStyle w:val="Hyperlink"/>
                </w:rPr>
                <w:t>Proinflammatory proteins in female and male patients with primary antiphospholipid syndrome: preliminary data</w:t>
              </w:r>
            </w:hyperlink>
            <w:r w:rsidRPr="00605E89">
              <w:t>. Clin Rheumatol. 2016;35(10):2477-83.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19/30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</w:p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2.365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13.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rPr>
                <w:b/>
              </w:rPr>
              <w:t>Bećarević M.</w:t>
            </w:r>
            <w:r w:rsidRPr="00605E89">
              <w:t xml:space="preserve"> </w:t>
            </w:r>
            <w:hyperlink r:id="rId14" w:history="1">
              <w:r w:rsidRPr="00605E89">
                <w:rPr>
                  <w:rStyle w:val="Hyperlink"/>
                </w:rPr>
                <w:t>The IgG and IgM isotypes of anti-annexin A5 antibodies: relevance for primary antiphospholipid syndrome</w:t>
              </w:r>
            </w:hyperlink>
            <w:r w:rsidRPr="00605E89">
              <w:t>. J Thromb Thrombolysis. 2016;42(4):552-7.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42/70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22</w:t>
            </w: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2.142</w:t>
            </w:r>
          </w:p>
        </w:tc>
      </w:tr>
      <w:tr w:rsidR="00524525" w:rsidRPr="005C32D7" w:rsidTr="00F612B6">
        <w:trPr>
          <w:trHeight w:val="227"/>
          <w:jc w:val="center"/>
        </w:trPr>
        <w:tc>
          <w:tcPr>
            <w:tcW w:w="251" w:type="pct"/>
            <w:vAlign w:val="center"/>
          </w:tcPr>
          <w:p w:rsidR="00524525" w:rsidRDefault="00524525" w:rsidP="00F612B6">
            <w:pPr>
              <w:jc w:val="center"/>
            </w:pPr>
            <w:r>
              <w:t>14.</w:t>
            </w:r>
          </w:p>
        </w:tc>
        <w:tc>
          <w:tcPr>
            <w:tcW w:w="3414" w:type="pct"/>
            <w:gridSpan w:val="8"/>
          </w:tcPr>
          <w:p w:rsidR="00524525" w:rsidRPr="00605E89" w:rsidRDefault="00524525" w:rsidP="00E11826">
            <w:pPr>
              <w:jc w:val="both"/>
              <w:rPr>
                <w:b/>
              </w:rPr>
            </w:pPr>
            <w:r w:rsidRPr="00605E89">
              <w:rPr>
                <w:b/>
              </w:rPr>
              <w:t>Bećarević M</w:t>
            </w:r>
            <w:r w:rsidRPr="00605E89">
              <w:t xml:space="preserve">, Stojanovic Lj, Ignjatović S, Dopsaj V. </w:t>
            </w:r>
            <w:hyperlink r:id="rId15" w:history="1">
              <w:r w:rsidRPr="00605E89">
                <w:rPr>
                  <w:rStyle w:val="Hyperlink"/>
                </w:rPr>
                <w:t>The IgM isotype of anti-annexin A5 antibodies and multiple positivity of conventional antiphospholipid antibodies: increasing the number of clinical manifestations of primary antiphospholipid syndrome</w:t>
              </w:r>
            </w:hyperlink>
            <w:r w:rsidRPr="00605E89">
              <w:t>. Clin Rheumatol. 2016;35(5):1361-5.</w:t>
            </w:r>
          </w:p>
        </w:tc>
        <w:tc>
          <w:tcPr>
            <w:tcW w:w="500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19/30</w:t>
            </w:r>
          </w:p>
        </w:tc>
        <w:tc>
          <w:tcPr>
            <w:tcW w:w="419" w:type="pct"/>
            <w:gridSpan w:val="2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23</w:t>
            </w:r>
          </w:p>
          <w:p w:rsidR="00524525" w:rsidRPr="00605E89" w:rsidRDefault="00524525" w:rsidP="00F612B6">
            <w:pPr>
              <w:jc w:val="center"/>
            </w:pPr>
          </w:p>
        </w:tc>
        <w:tc>
          <w:tcPr>
            <w:tcW w:w="416" w:type="pct"/>
            <w:vAlign w:val="center"/>
          </w:tcPr>
          <w:p w:rsidR="00524525" w:rsidRPr="00605E89" w:rsidRDefault="00524525" w:rsidP="00F612B6">
            <w:pPr>
              <w:jc w:val="center"/>
            </w:pPr>
            <w:r w:rsidRPr="00605E89">
              <w:t>2.365</w:t>
            </w:r>
          </w:p>
        </w:tc>
      </w:tr>
      <w:tr w:rsidR="00524525" w:rsidRPr="005C32D7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4525" w:rsidRPr="005C32D7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b/>
                <w:lang w:val="sr-Cyrl-CS"/>
              </w:rPr>
              <w:t xml:space="preserve">Збирни подаци </w:t>
            </w:r>
            <w:r w:rsidRPr="005C32D7">
              <w:rPr>
                <w:b/>
              </w:rPr>
              <w:t xml:space="preserve">уметничке </w:t>
            </w:r>
            <w:r w:rsidRPr="005C32D7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4525" w:rsidRPr="005C32D7" w:rsidTr="00FE1010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:rsidR="00524525" w:rsidRPr="005C32D7" w:rsidRDefault="00524525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2" w:type="pct"/>
            <w:gridSpan w:val="9"/>
          </w:tcPr>
          <w:p w:rsidR="00524525" w:rsidRPr="005C32D7" w:rsidRDefault="00391993" w:rsidP="005C32D7">
            <w:pPr>
              <w:rPr>
                <w:bCs/>
              </w:rPr>
            </w:pPr>
            <w:r>
              <w:rPr>
                <w:bCs/>
              </w:rPr>
              <w:t>115</w:t>
            </w:r>
          </w:p>
        </w:tc>
      </w:tr>
      <w:tr w:rsidR="00524525" w:rsidRPr="005C32D7" w:rsidTr="00FE1010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:rsidR="00524525" w:rsidRPr="005C32D7" w:rsidRDefault="00524525" w:rsidP="005C32D7">
            <w:pPr>
              <w:spacing w:after="60"/>
              <w:rPr>
                <w:lang w:val="sr-Cyrl-CS"/>
              </w:rPr>
            </w:pPr>
            <w:r w:rsidRPr="005C32D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2" w:type="pct"/>
            <w:gridSpan w:val="9"/>
          </w:tcPr>
          <w:p w:rsidR="00524525" w:rsidRPr="005C32D7" w:rsidRDefault="00524525" w:rsidP="005C32D7">
            <w:pPr>
              <w:rPr>
                <w:bCs/>
              </w:rPr>
            </w:pPr>
            <w:r>
              <w:rPr>
                <w:bCs/>
              </w:rPr>
              <w:t>2</w:t>
            </w:r>
            <w:r w:rsidR="00BE4CBB">
              <w:rPr>
                <w:bCs/>
              </w:rPr>
              <w:t>4</w:t>
            </w:r>
          </w:p>
        </w:tc>
      </w:tr>
      <w:tr w:rsidR="00524525" w:rsidRPr="005C32D7" w:rsidTr="00FE1010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9" w:type="pct"/>
            <w:gridSpan w:val="2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lang w:val="sr-Cyrl-CS"/>
              </w:rPr>
              <w:t>Домаћи: 1</w:t>
            </w:r>
          </w:p>
        </w:tc>
        <w:tc>
          <w:tcPr>
            <w:tcW w:w="2123" w:type="pct"/>
            <w:gridSpan w:val="7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lang w:val="sr-Cyrl-CS"/>
              </w:rPr>
              <w:t>Међународни</w:t>
            </w:r>
          </w:p>
        </w:tc>
      </w:tr>
      <w:tr w:rsidR="00524525" w:rsidRPr="005C32D7" w:rsidTr="00FE1010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lang w:val="sr-Cyrl-CS"/>
              </w:rPr>
              <w:t>Усавршавања</w:t>
            </w:r>
          </w:p>
        </w:tc>
        <w:tc>
          <w:tcPr>
            <w:tcW w:w="539" w:type="pct"/>
            <w:gridSpan w:val="2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23" w:type="pct"/>
            <w:gridSpan w:val="7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</w:p>
        </w:tc>
      </w:tr>
      <w:tr w:rsidR="00524525" w:rsidRPr="005C32D7" w:rsidTr="00FE1010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:rsidR="00524525" w:rsidRPr="005C32D7" w:rsidRDefault="00524525" w:rsidP="005C32D7">
            <w:pPr>
              <w:spacing w:after="60"/>
              <w:rPr>
                <w:b/>
                <w:lang w:val="sr-Cyrl-CS"/>
              </w:rPr>
            </w:pPr>
            <w:r w:rsidRPr="005C32D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2" w:type="pct"/>
            <w:gridSpan w:val="9"/>
          </w:tcPr>
          <w:p w:rsidR="00524525" w:rsidRPr="005C32D7" w:rsidRDefault="00524525" w:rsidP="005C32D7">
            <w:pPr>
              <w:contextualSpacing/>
              <w:rPr>
                <w:b/>
              </w:rPr>
            </w:pPr>
            <w:r w:rsidRPr="005C32D7">
              <w:rPr>
                <w:b/>
              </w:rPr>
              <w:t>Уџбеници за предмете Биофармација 1 и Биофармација 2</w:t>
            </w:r>
          </w:p>
          <w:p w:rsidR="00524525" w:rsidRPr="005C32D7" w:rsidRDefault="00524525" w:rsidP="005C32D7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A6"/>
                <w:rFonts w:cs="Times New Roman"/>
                <w:bCs/>
                <w:sz w:val="20"/>
                <w:szCs w:val="20"/>
              </w:rPr>
            </w:pPr>
            <w:r w:rsidRPr="005C32D7">
              <w:rPr>
                <w:bCs/>
              </w:rPr>
              <w:t xml:space="preserve">Bećarević M. Biofarmacija. Medicinski fakultet, Novi Sad 2015. </w:t>
            </w:r>
            <w:r w:rsidRPr="005C32D7">
              <w:rPr>
                <w:rStyle w:val="A6"/>
                <w:rFonts w:cs="Times New Roman"/>
                <w:bCs/>
                <w:sz w:val="20"/>
                <w:szCs w:val="20"/>
              </w:rPr>
              <w:t>ISBN 978-86-7197-434-9.</w:t>
            </w:r>
          </w:p>
          <w:p w:rsidR="00524525" w:rsidRPr="005C32D7" w:rsidRDefault="00524525" w:rsidP="005C32D7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A6"/>
                <w:rFonts w:cs="Times New Roman"/>
                <w:bCs/>
                <w:sz w:val="20"/>
                <w:szCs w:val="20"/>
              </w:rPr>
            </w:pPr>
            <w:r w:rsidRPr="005C32D7">
              <w:rPr>
                <w:bCs/>
              </w:rPr>
              <w:t xml:space="preserve">Bećarević M. Biofarmacija 2. Medicinski fakultet, Novi Sad 2019. </w:t>
            </w:r>
            <w:r w:rsidRPr="005C32D7">
              <w:rPr>
                <w:rStyle w:val="A6"/>
                <w:rFonts w:cs="Times New Roman"/>
                <w:bCs/>
                <w:sz w:val="20"/>
                <w:szCs w:val="20"/>
              </w:rPr>
              <w:t xml:space="preserve">ISBN </w:t>
            </w:r>
            <w:r w:rsidRPr="005C32D7">
              <w:rPr>
                <w:rStyle w:val="A3"/>
                <w:rFonts w:cs="Times New Roman"/>
                <w:bCs/>
              </w:rPr>
              <w:t>978-86-7197-569-8</w:t>
            </w:r>
            <w:r w:rsidRPr="005C32D7">
              <w:rPr>
                <w:rStyle w:val="A6"/>
                <w:rFonts w:cs="Times New Roman"/>
                <w:bCs/>
                <w:sz w:val="20"/>
                <w:szCs w:val="20"/>
              </w:rPr>
              <w:t>.</w:t>
            </w:r>
          </w:p>
          <w:p w:rsidR="00524525" w:rsidRPr="005C32D7" w:rsidRDefault="00524525" w:rsidP="005C32D7">
            <w:pPr>
              <w:contextualSpacing/>
              <w:rPr>
                <w:b/>
              </w:rPr>
            </w:pPr>
            <w:r w:rsidRPr="005C32D7">
              <w:rPr>
                <w:b/>
              </w:rPr>
              <w:t>Монографије</w:t>
            </w:r>
          </w:p>
          <w:p w:rsidR="00524525" w:rsidRPr="005C32D7" w:rsidRDefault="00524525" w:rsidP="005C32D7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Cs/>
              </w:rPr>
            </w:pPr>
            <w:r w:rsidRPr="005C32D7">
              <w:rPr>
                <w:bCs/>
                <w:u w:val="single"/>
              </w:rPr>
              <w:t>Bećarević M</w:t>
            </w:r>
            <w:r w:rsidRPr="005C32D7">
              <w:rPr>
                <w:bCs/>
              </w:rPr>
              <w:t xml:space="preserve">. Primarni antifosfolipidni sindrom. Medicinski fakultet Novi Sad 2010. ISBN: 978-86-7197-318-2. </w:t>
            </w:r>
          </w:p>
          <w:p w:rsidR="00524525" w:rsidRDefault="00524525" w:rsidP="005C32D7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eastAsia="Calibri"/>
                <w:bCs/>
              </w:rPr>
            </w:pPr>
            <w:r w:rsidRPr="005C32D7">
              <w:rPr>
                <w:bCs/>
                <w:u w:val="single"/>
              </w:rPr>
              <w:t>Bećarević M.</w:t>
            </w:r>
            <w:r w:rsidRPr="005C32D7">
              <w:rPr>
                <w:bCs/>
              </w:rPr>
              <w:t xml:space="preserve"> Biofarmaceutske karakteristike preparata u tretmanu antifosfolipidnog sindroma. Medicinski fakultet Novi Sad 2013. ISBN: </w:t>
            </w:r>
            <w:r w:rsidRPr="005C32D7">
              <w:rPr>
                <w:rFonts w:eastAsia="Calibri"/>
                <w:bCs/>
              </w:rPr>
              <w:t>978-86-7197-380-9.</w:t>
            </w:r>
          </w:p>
          <w:p w:rsidR="00524525" w:rsidRPr="005C32D7" w:rsidRDefault="00524525" w:rsidP="005C32D7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eastAsia="Calibri"/>
                <w:bCs/>
              </w:rPr>
            </w:pPr>
            <w:r w:rsidRPr="005C32D7">
              <w:rPr>
                <w:bCs/>
                <w:u w:val="single"/>
              </w:rPr>
              <w:t>Bećarević M.</w:t>
            </w:r>
            <w:r w:rsidRPr="005C32D7">
              <w:rPr>
                <w:bCs/>
              </w:rPr>
              <w:t xml:space="preserve"> Biofarmaceutici-monoklonska antitela u dijagnostici i terapiji autoimunih inflamatornih oboljenja. Medicinski fakultet Novi Sad 2015, ISBN: 978-86-7197-459-2.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F7007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C043C"/>
    <w:multiLevelType w:val="hybridMultilevel"/>
    <w:tmpl w:val="AD5E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14F6"/>
    <w:multiLevelType w:val="hybridMultilevel"/>
    <w:tmpl w:val="8FF8A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863"/>
    <w:multiLevelType w:val="hybridMultilevel"/>
    <w:tmpl w:val="80A0F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AE"/>
    <w:rsid w:val="00036086"/>
    <w:rsid w:val="000B22B6"/>
    <w:rsid w:val="000F40DD"/>
    <w:rsid w:val="00112F42"/>
    <w:rsid w:val="001543AE"/>
    <w:rsid w:val="001F0960"/>
    <w:rsid w:val="002D7261"/>
    <w:rsid w:val="00391993"/>
    <w:rsid w:val="003F177B"/>
    <w:rsid w:val="00477A12"/>
    <w:rsid w:val="004E78CF"/>
    <w:rsid w:val="00502759"/>
    <w:rsid w:val="00524525"/>
    <w:rsid w:val="005B6DDC"/>
    <w:rsid w:val="005C32D7"/>
    <w:rsid w:val="00605E89"/>
    <w:rsid w:val="00615CAC"/>
    <w:rsid w:val="00683D2A"/>
    <w:rsid w:val="006B46C5"/>
    <w:rsid w:val="006C6D22"/>
    <w:rsid w:val="00704375"/>
    <w:rsid w:val="00874FA5"/>
    <w:rsid w:val="008F3411"/>
    <w:rsid w:val="009A7403"/>
    <w:rsid w:val="009E76F6"/>
    <w:rsid w:val="00A85D19"/>
    <w:rsid w:val="00A96A06"/>
    <w:rsid w:val="00B63F99"/>
    <w:rsid w:val="00B867B1"/>
    <w:rsid w:val="00BE4CBB"/>
    <w:rsid w:val="00C74FE8"/>
    <w:rsid w:val="00DD7CCF"/>
    <w:rsid w:val="00E11826"/>
    <w:rsid w:val="00F612B6"/>
    <w:rsid w:val="00F74484"/>
    <w:rsid w:val="00F81509"/>
    <w:rsid w:val="00FC5895"/>
    <w:rsid w:val="00FE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6">
    <w:name w:val="A6"/>
    <w:uiPriority w:val="99"/>
    <w:rsid w:val="005C32D7"/>
    <w:rPr>
      <w:rFonts w:cs="Minion Pro"/>
      <w:color w:val="000000"/>
      <w:sz w:val="14"/>
      <w:szCs w:val="14"/>
    </w:rPr>
  </w:style>
  <w:style w:type="character" w:customStyle="1" w:styleId="A3">
    <w:name w:val="A3"/>
    <w:uiPriority w:val="99"/>
    <w:rsid w:val="005C32D7"/>
    <w:rPr>
      <w:rFonts w:cs="Minion Pro"/>
      <w:color w:val="000000"/>
      <w:sz w:val="20"/>
      <w:szCs w:val="20"/>
    </w:rPr>
  </w:style>
  <w:style w:type="paragraph" w:customStyle="1" w:styleId="Default">
    <w:name w:val="Default"/>
    <w:rsid w:val="00605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007%2Fs11239-017-1571-4.pdf" TargetMode="External"/><Relationship Id="rId13" Type="http://schemas.openxmlformats.org/officeDocument/2006/relationships/hyperlink" Target="http://link.springer.com/article/10.1007%2Fs10067-016-3345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content/pdf/10.1007%2Fs11926-017-0669-1.pdf" TargetMode="External"/><Relationship Id="rId12" Type="http://schemas.openxmlformats.org/officeDocument/2006/relationships/hyperlink" Target="http://link.springer.com/article/10.1007%2Fs00296-016-3569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4037961/" TargetMode="External"/><Relationship Id="rId11" Type="http://schemas.openxmlformats.org/officeDocument/2006/relationships/hyperlink" Target="http://link.springer.com/article/10.1007%2Fs10067-016-3438-z" TargetMode="External"/><Relationship Id="rId5" Type="http://schemas.openxmlformats.org/officeDocument/2006/relationships/hyperlink" Target="http://kobson.nb.rs/nauka_u_srbiji.132.html?autor=Becarevic%20Mirjana&amp;amp;samoar&amp;amp;.WSP5fze__cc" TargetMode="External"/><Relationship Id="rId15" Type="http://schemas.openxmlformats.org/officeDocument/2006/relationships/hyperlink" Target="http://link.springer.com/article/10.1007%2Fs10067-016-3230-0" TargetMode="External"/><Relationship Id="rId10" Type="http://schemas.openxmlformats.org/officeDocument/2006/relationships/hyperlink" Target="http://www.sciencedirect.com/science/article/pii/S0039128X16301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sagepub.com/doi/pdf/10.1177/1076029616642512" TargetMode="External"/><Relationship Id="rId14" Type="http://schemas.openxmlformats.org/officeDocument/2006/relationships/hyperlink" Target="http://link.springer.com/article/10.1007%2Fs11239-016-1389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19</cp:revision>
  <dcterms:created xsi:type="dcterms:W3CDTF">2019-12-03T21:04:00Z</dcterms:created>
  <dcterms:modified xsi:type="dcterms:W3CDTF">2024-07-19T09:59:00Z</dcterms:modified>
</cp:coreProperties>
</file>