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28"/>
        <w:gridCol w:w="1846"/>
        <w:gridCol w:w="939"/>
        <w:gridCol w:w="363"/>
        <w:gridCol w:w="1257"/>
        <w:gridCol w:w="375"/>
        <w:gridCol w:w="163"/>
        <w:gridCol w:w="943"/>
        <w:gridCol w:w="497"/>
        <w:gridCol w:w="424"/>
        <w:gridCol w:w="1012"/>
      </w:tblGrid>
      <w:tr w:rsidR="001543AE" w:rsidRPr="00460DAE" w:rsidTr="00460DAE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460DAE" w:rsidRDefault="001543AE" w:rsidP="0020747E">
            <w:pPr>
              <w:spacing w:after="60"/>
              <w:rPr>
                <w:lang w:val="sr-Cyrl-CS"/>
              </w:rPr>
            </w:pPr>
            <w:r w:rsidRPr="00460DA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460DAE" w:rsidRDefault="001F161B" w:rsidP="002F4310">
            <w:pPr>
              <w:spacing w:after="60"/>
              <w:rPr>
                <w:lang w:val="sr-Cyrl-CS"/>
              </w:rPr>
            </w:pPr>
            <w:hyperlink r:id="rId6" w:history="1">
              <w:r w:rsidR="00320E99" w:rsidRPr="00460DAE">
                <w:rPr>
                  <w:rStyle w:val="Hyperlink"/>
                  <w:lang w:val="sr-Cyrl-CS"/>
                </w:rPr>
                <w:t>Љиљана Гвозденовић</w:t>
              </w:r>
            </w:hyperlink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460DAE" w:rsidRPr="00460DAE" w:rsidRDefault="00161634" w:rsidP="00460DAE">
            <w:pPr>
              <w:rPr>
                <w:lang w:val="sr-Cyrl-CS"/>
              </w:rPr>
            </w:pPr>
            <w:r>
              <w:t>Р</w:t>
            </w:r>
            <w:r w:rsidR="00460DAE" w:rsidRPr="00460DAE">
              <w:rPr>
                <w:lang w:val="sr-Cyrl-CS"/>
              </w:rPr>
              <w:t>едовни професор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</w:tcPr>
          <w:p w:rsidR="00460DAE" w:rsidRPr="00460DAE" w:rsidRDefault="00460DAE" w:rsidP="00460DAE">
            <w:r>
              <w:t>Хирургија са анестезиологијом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 xml:space="preserve">Година </w:t>
            </w:r>
          </w:p>
        </w:tc>
        <w:tc>
          <w:tcPr>
            <w:tcW w:w="1412" w:type="pct"/>
            <w:gridSpan w:val="3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 xml:space="preserve">Институција </w:t>
            </w:r>
          </w:p>
        </w:tc>
        <w:tc>
          <w:tcPr>
            <w:tcW w:w="2095" w:type="pct"/>
            <w:gridSpan w:val="7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1032" w:type="pct"/>
            <w:gridSpan w:val="2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460DAE" w:rsidRPr="00460DAE" w:rsidRDefault="00474C59" w:rsidP="00460DAE">
            <w:r>
              <w:rPr>
                <w:lang w:val="sr-Cyrl-CS"/>
              </w:rPr>
              <w:t>2007</w:t>
            </w:r>
            <w:r w:rsidR="00460DAE" w:rsidRPr="00460DAE">
              <w:t>.</w:t>
            </w:r>
          </w:p>
        </w:tc>
        <w:tc>
          <w:tcPr>
            <w:tcW w:w="1412" w:type="pct"/>
            <w:gridSpan w:val="3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095" w:type="pct"/>
            <w:gridSpan w:val="7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Хирургија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1032" w:type="pct"/>
            <w:gridSpan w:val="2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460DAE" w:rsidRPr="00460DAE" w:rsidRDefault="00460DAE" w:rsidP="00460DAE">
            <w:r w:rsidRPr="00460DAE">
              <w:rPr>
                <w:lang w:val="sr-Cyrl-CS"/>
              </w:rPr>
              <w:t>1992</w:t>
            </w:r>
            <w:r w:rsidRPr="00460DAE">
              <w:t>.</w:t>
            </w:r>
          </w:p>
        </w:tc>
        <w:tc>
          <w:tcPr>
            <w:tcW w:w="1412" w:type="pct"/>
            <w:gridSpan w:val="3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7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 xml:space="preserve">Хирургија, </w:t>
            </w:r>
            <w:r>
              <w:rPr>
                <w:lang w:val="sr-Cyrl-CS"/>
              </w:rPr>
              <w:t>А</w:t>
            </w:r>
            <w:r w:rsidRPr="00460DAE">
              <w:rPr>
                <w:lang w:val="sr-Cyrl-CS"/>
              </w:rPr>
              <w:t>нестезиологија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1032" w:type="pct"/>
            <w:gridSpan w:val="2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460DAE" w:rsidRPr="00460DAE" w:rsidRDefault="00460DAE" w:rsidP="00460DAE">
            <w:r w:rsidRPr="00460DAE">
              <w:rPr>
                <w:lang w:val="sr-Cyrl-CS"/>
              </w:rPr>
              <w:t>1990</w:t>
            </w:r>
            <w:r w:rsidRPr="00460DAE">
              <w:t>.</w:t>
            </w:r>
          </w:p>
        </w:tc>
        <w:tc>
          <w:tcPr>
            <w:tcW w:w="1412" w:type="pct"/>
            <w:gridSpan w:val="3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7"/>
          </w:tcPr>
          <w:p w:rsidR="00460DAE" w:rsidRPr="00460DAE" w:rsidRDefault="00460DAE" w:rsidP="00460DAE">
            <w:pPr>
              <w:rPr>
                <w:highlight w:val="yellow"/>
                <w:lang w:val="sr-Cyrl-CS"/>
              </w:rPr>
            </w:pPr>
            <w:r w:rsidRPr="00460DAE">
              <w:rPr>
                <w:lang w:val="sr-Cyrl-CS"/>
              </w:rPr>
              <w:t>Анестезиологија са реаниматологијом, интензивном терпијом и терапијом бола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1032" w:type="pct"/>
            <w:gridSpan w:val="2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1985.</w:t>
            </w:r>
          </w:p>
        </w:tc>
        <w:tc>
          <w:tcPr>
            <w:tcW w:w="1412" w:type="pct"/>
            <w:gridSpan w:val="3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7"/>
          </w:tcPr>
          <w:p w:rsidR="00460DAE" w:rsidRPr="00460DAE" w:rsidRDefault="00460DAE" w:rsidP="00460DAE">
            <w:pPr>
              <w:rPr>
                <w:highlight w:val="yellow"/>
                <w:lang w:val="sr-Cyrl-CS"/>
              </w:rPr>
            </w:pPr>
            <w:r w:rsidRPr="00460DAE">
              <w:rPr>
                <w:lang w:val="sr-Cyrl-CS"/>
              </w:rPr>
              <w:t>Анестезиологија са реаниматологијом, интензивном терпијом и терапијом бола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1032" w:type="pct"/>
            <w:gridSpan w:val="2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1983.</w:t>
            </w:r>
          </w:p>
        </w:tc>
        <w:tc>
          <w:tcPr>
            <w:tcW w:w="1412" w:type="pct"/>
            <w:gridSpan w:val="3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095" w:type="pct"/>
            <w:gridSpan w:val="7"/>
          </w:tcPr>
          <w:p w:rsidR="00460DAE" w:rsidRPr="00460DAE" w:rsidRDefault="00460DAE" w:rsidP="00460DAE">
            <w:pPr>
              <w:rPr>
                <w:lang w:val="sr-Cyrl-CS"/>
              </w:rPr>
            </w:pPr>
            <w:r w:rsidRPr="00460DAE">
              <w:rPr>
                <w:lang w:val="sr-Cyrl-CS"/>
              </w:rPr>
              <w:t>Општа медицина</w:t>
            </w:r>
          </w:p>
        </w:tc>
      </w:tr>
      <w:tr w:rsidR="00460DAE" w:rsidRPr="00460D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b/>
                <w:lang w:val="sr-Cyrl-CS"/>
              </w:rPr>
              <w:t>Списак дисертација</w:t>
            </w:r>
            <w:r w:rsidRPr="00460DAE">
              <w:rPr>
                <w:b/>
              </w:rPr>
              <w:t xml:space="preserve">-докторских уметничких пројеката </w:t>
            </w:r>
            <w:r w:rsidRPr="00460DA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248" w:type="pct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Р.Б.</w:t>
            </w:r>
          </w:p>
        </w:tc>
        <w:tc>
          <w:tcPr>
            <w:tcW w:w="2494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</w:pPr>
            <w:r w:rsidRPr="00460DAE">
              <w:rPr>
                <w:lang w:val="sr-Cyrl-CS"/>
              </w:rPr>
              <w:t>Наслов дисертације</w:t>
            </w:r>
            <w:r w:rsidRPr="00460DAE">
              <w:t xml:space="preserve">- докторског уметничког пројекта </w:t>
            </w:r>
          </w:p>
        </w:tc>
        <w:tc>
          <w:tcPr>
            <w:tcW w:w="968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** одбрањена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248" w:type="pct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1.</w:t>
            </w:r>
          </w:p>
        </w:tc>
        <w:tc>
          <w:tcPr>
            <w:tcW w:w="2494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THORACOSCORE БОДОВНИ СИСТЕМ У ПРОЦЕНИ ОПЕРАТИВНОГ РИЗИКА НАКОН АНАТОМСКЕ И НЕАНАТОМСКЕ РЕСЕКЦИЈЕ ПЛУЋА</w:t>
            </w:r>
          </w:p>
        </w:tc>
        <w:tc>
          <w:tcPr>
            <w:tcW w:w="968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Горица Милашиновић</w:t>
            </w:r>
          </w:p>
        </w:tc>
        <w:tc>
          <w:tcPr>
            <w:tcW w:w="646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2019.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248" w:type="pct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2.</w:t>
            </w:r>
          </w:p>
        </w:tc>
        <w:tc>
          <w:tcPr>
            <w:tcW w:w="2494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УТИЦАЈ  ПРИМЕНЕ ОПШТЕ ИНТРАВЕНСКЕ АНЕСТЕЗИЈЕ НА КВАЛИТЕТ КОЛОНОСКОПСКЕ ПРОЦЕДУРЕ</w:t>
            </w:r>
          </w:p>
        </w:tc>
        <w:tc>
          <w:tcPr>
            <w:tcW w:w="968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Александар Кнежевић</w:t>
            </w:r>
          </w:p>
        </w:tc>
        <w:tc>
          <w:tcPr>
            <w:tcW w:w="646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2018.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248" w:type="pct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3.</w:t>
            </w:r>
          </w:p>
        </w:tc>
        <w:tc>
          <w:tcPr>
            <w:tcW w:w="2494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ПРОЦЕНА ЕФИКАСНОСТИ ЛАРИНГЕАЛНЕ МАСКЕ У ОДНОСУ НА ЕНДОТРАХЕАЛНИ ТУБУС У ЗБРИЊАВАЊУ ДИСАЈНОГ ПУТА У ДЕЧЈОЈ ОТОРИНОЛАРИНГОЛОШКОЈ ХИРУРГИЈИ</w:t>
            </w:r>
          </w:p>
        </w:tc>
        <w:tc>
          <w:tcPr>
            <w:tcW w:w="968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Владимир Долинај</w:t>
            </w:r>
          </w:p>
        </w:tc>
        <w:tc>
          <w:tcPr>
            <w:tcW w:w="646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2017.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248" w:type="pct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4.</w:t>
            </w:r>
          </w:p>
        </w:tc>
        <w:tc>
          <w:tcPr>
            <w:tcW w:w="2494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АЛГОРИТАМ ПРИМЕНЕ ЛАПАРОСКОПСКЕ ХОЛЕЦИСТЕКТОМИЈЕ И ЕНДОСКОПСКЕ РЕТРОГРАДНЕ ХОЛАНГИОПАНКРЕАТОГРАФИЈЕ СА ПАПИЛОТОМИЈОМ У ТРЕТМАНУ УМЕРЕНЕ ФОРМЕ БИЛИЈАРНОГ ПАНКРЕАТИТИСА</w:t>
            </w:r>
          </w:p>
        </w:tc>
        <w:tc>
          <w:tcPr>
            <w:tcW w:w="968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Александар Глуховић</w:t>
            </w:r>
          </w:p>
        </w:tc>
        <w:tc>
          <w:tcPr>
            <w:tcW w:w="646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2016.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248" w:type="pct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5.</w:t>
            </w:r>
          </w:p>
        </w:tc>
        <w:tc>
          <w:tcPr>
            <w:tcW w:w="2494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ПОСТОПЕРАТИВНИ КОГНИТИВНИ ДЕФИЦИТ И ДЕЛИРИЈУМ НАКОН УРГЕНТНИХ ХИРУРШКИХ ЗАХВАТА</w:t>
            </w:r>
          </w:p>
        </w:tc>
        <w:tc>
          <w:tcPr>
            <w:tcW w:w="968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Весна Пајтић</w:t>
            </w:r>
          </w:p>
        </w:tc>
        <w:tc>
          <w:tcPr>
            <w:tcW w:w="646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2014.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248" w:type="pct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6.</w:t>
            </w:r>
          </w:p>
        </w:tc>
        <w:tc>
          <w:tcPr>
            <w:tcW w:w="2494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УТИЦАЈ ТРАНСФУЗИЈЕ АУТОЛОГНЕ КРВИ НА ПЕРИОПЕРАТИВНИ МОРБИДИТЕТ КОД УГРАДЊЕ ТОТАЛНЕ ПРОТЕЗЕ КУКА И КОЛЕНА</w:t>
            </w:r>
          </w:p>
        </w:tc>
        <w:tc>
          <w:tcPr>
            <w:tcW w:w="968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Мирка Лукић Шаркановић</w:t>
            </w:r>
          </w:p>
        </w:tc>
        <w:tc>
          <w:tcPr>
            <w:tcW w:w="646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2012.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248" w:type="pct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7.</w:t>
            </w:r>
          </w:p>
        </w:tc>
        <w:tc>
          <w:tcPr>
            <w:tcW w:w="2494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ПРОЦЕНА НИВОА ХРОНИЧНОГ СТРЕСА КОД ЛЕКАРА СПЕЦИЈАЛИСТА НАКОН НОЋНОГ РАДА У СПЕЦИЈАЛИЗОВАНИМ ТЕРЦИЈЕРНИМ УСТАНОВАМА ХИРУРШКИХ ГРАНА</w:t>
            </w:r>
          </w:p>
        </w:tc>
        <w:tc>
          <w:tcPr>
            <w:tcW w:w="968" w:type="pct"/>
            <w:gridSpan w:val="4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Борислава Пујић</w:t>
            </w:r>
          </w:p>
        </w:tc>
        <w:tc>
          <w:tcPr>
            <w:tcW w:w="646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2011.</w:t>
            </w:r>
          </w:p>
        </w:tc>
      </w:tr>
      <w:tr w:rsidR="00460DAE" w:rsidRPr="00460D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60DAE" w:rsidRPr="00460DAE" w:rsidRDefault="00460DAE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*Година  у којој је дисертација</w:t>
            </w:r>
            <w:r w:rsidRPr="00460DAE">
              <w:t xml:space="preserve">-докторски уметнички пројекат </w:t>
            </w:r>
            <w:r w:rsidRPr="00460DAE">
              <w:rPr>
                <w:lang w:val="sr-Cyrl-CS"/>
              </w:rPr>
              <w:t xml:space="preserve"> пријављена</w:t>
            </w:r>
            <w:r w:rsidRPr="00460DAE">
              <w:t xml:space="preserve">-пријављен </w:t>
            </w:r>
            <w:r w:rsidRPr="00460DAE">
              <w:rPr>
                <w:lang w:val="sr-Cyrl-CS"/>
              </w:rPr>
              <w:t>(само за дисертације</w:t>
            </w:r>
            <w:r w:rsidRPr="00460DAE">
              <w:t xml:space="preserve">-докторске уметничке пројекте </w:t>
            </w:r>
            <w:r w:rsidRPr="00460DAE">
              <w:rPr>
                <w:lang w:val="sr-Cyrl-CS"/>
              </w:rPr>
              <w:t xml:space="preserve"> које су у току), ** Година у којој је дисертација</w:t>
            </w:r>
            <w:r w:rsidRPr="00460DAE">
              <w:t xml:space="preserve">-докторски уметнички пројекат </w:t>
            </w:r>
            <w:r w:rsidRPr="00460DAE">
              <w:rPr>
                <w:lang w:val="sr-Cyrl-CS"/>
              </w:rPr>
              <w:t xml:space="preserve"> одбрањена (само за дисертације</w:t>
            </w:r>
            <w:r w:rsidRPr="00460DAE">
              <w:t xml:space="preserve">-докторско уметничке пројекте </w:t>
            </w:r>
            <w:r w:rsidRPr="00460DAE">
              <w:rPr>
                <w:lang w:val="sr-Cyrl-CS"/>
              </w:rPr>
              <w:t xml:space="preserve"> из ранијег периода)</w:t>
            </w:r>
          </w:p>
        </w:tc>
      </w:tr>
      <w:tr w:rsidR="00460DAE" w:rsidRPr="00460D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60DAE" w:rsidRPr="00460DAE" w:rsidRDefault="00460DAE" w:rsidP="000245C8">
            <w:pPr>
              <w:spacing w:after="60"/>
              <w:rPr>
                <w:b/>
              </w:rPr>
            </w:pPr>
            <w:r w:rsidRPr="00460DAE">
              <w:rPr>
                <w:b/>
                <w:lang w:val="sr-Cyrl-CS"/>
              </w:rPr>
              <w:t>Категоризација публикације</w:t>
            </w:r>
            <w:r w:rsidRPr="00460DAE">
              <w:rPr>
                <w:b/>
              </w:rPr>
              <w:t xml:space="preserve"> научних радова  из области датог студијског програма </w:t>
            </w:r>
            <w:r w:rsidRPr="00460DAE">
              <w:rPr>
                <w:b/>
                <w:lang w:val="sr-Cyrl-CS"/>
              </w:rPr>
              <w:t xml:space="preserve"> према класификацији ре</w:t>
            </w:r>
            <w:r w:rsidRPr="00460DAE">
              <w:rPr>
                <w:b/>
              </w:rPr>
              <w:t>с</w:t>
            </w:r>
            <w:r w:rsidRPr="00460DA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60DAE" w:rsidRPr="00460DAE" w:rsidTr="00460DAE">
        <w:trPr>
          <w:trHeight w:val="227"/>
          <w:jc w:val="center"/>
        </w:trPr>
        <w:tc>
          <w:tcPr>
            <w:tcW w:w="248" w:type="pct"/>
            <w:vAlign w:val="center"/>
          </w:tcPr>
          <w:p w:rsidR="00460DAE" w:rsidRPr="00460DAE" w:rsidRDefault="00460DAE" w:rsidP="00460DAE">
            <w:pPr>
              <w:spacing w:after="60"/>
              <w:ind w:left="-23"/>
              <w:jc w:val="center"/>
            </w:pPr>
            <w:r w:rsidRPr="00460DAE">
              <w:t>Р.б.</w:t>
            </w:r>
          </w:p>
        </w:tc>
        <w:tc>
          <w:tcPr>
            <w:tcW w:w="3389" w:type="pct"/>
            <w:gridSpan w:val="7"/>
          </w:tcPr>
          <w:p w:rsidR="00460DAE" w:rsidRPr="00460DAE" w:rsidRDefault="00460DAE" w:rsidP="00460DA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60DA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460DAE" w:rsidRPr="00460DAE" w:rsidRDefault="00460DAE" w:rsidP="00460DA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60DA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60DAE" w:rsidRPr="00460DAE" w:rsidRDefault="00460DAE" w:rsidP="00460DA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60DAE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460DAE" w:rsidRPr="00460DAE" w:rsidRDefault="00460DAE" w:rsidP="00460DA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60DAE">
              <w:rPr>
                <w:sz w:val="20"/>
                <w:szCs w:val="20"/>
              </w:rPr>
              <w:t>IF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1.</w:t>
            </w:r>
          </w:p>
        </w:tc>
        <w:tc>
          <w:tcPr>
            <w:tcW w:w="3389" w:type="pct"/>
            <w:gridSpan w:val="7"/>
          </w:tcPr>
          <w:p w:rsidR="008C77EA" w:rsidRDefault="008C77EA" w:rsidP="001F09B3">
            <w:pPr>
              <w:jc w:val="both"/>
            </w:pPr>
            <w:r w:rsidRPr="008C77EA">
              <w:t xml:space="preserve">Krsman A, Stajić D, Baturan B, Stanković M, Kupušinac A, </w:t>
            </w:r>
            <w:r w:rsidR="001F09B3">
              <w:t>et al...</w:t>
            </w:r>
            <w:r w:rsidRPr="008C77EA">
              <w:rPr>
                <w:b/>
              </w:rPr>
              <w:t>Gvozdenović Lj</w:t>
            </w:r>
            <w:r w:rsidRPr="008C77EA">
              <w:t xml:space="preserve">. </w:t>
            </w:r>
            <w:hyperlink r:id="rId7" w:history="1">
              <w:r w:rsidRPr="008C77EA">
                <w:rPr>
                  <w:rStyle w:val="Hyperlink"/>
                </w:rPr>
                <w:t>Correlation between increased maternal body mass index and pregnancy complications</w:t>
              </w:r>
            </w:hyperlink>
            <w:r w:rsidRPr="008C77EA">
              <w:t>. Eur Rev Med Pharmacol Sci. 2023;27(8): 3508-13.</w:t>
            </w:r>
          </w:p>
        </w:tc>
        <w:tc>
          <w:tcPr>
            <w:tcW w:w="496" w:type="pct"/>
            <w:gridSpan w:val="2"/>
            <w:vAlign w:val="center"/>
          </w:tcPr>
          <w:p w:rsidR="008C77EA" w:rsidRDefault="008C77EA" w:rsidP="0020747E">
            <w:pPr>
              <w:jc w:val="center"/>
            </w:pPr>
            <w:r w:rsidRPr="00A60BF8">
              <w:t>125/279</w:t>
            </w:r>
          </w:p>
          <w:p w:rsidR="008C77EA" w:rsidRDefault="008C77EA" w:rsidP="0020747E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8C77EA" w:rsidRDefault="008C77EA" w:rsidP="002074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8C77EA" w:rsidRDefault="008C77EA" w:rsidP="002074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(2021)</w:t>
            </w:r>
          </w:p>
        </w:tc>
        <w:tc>
          <w:tcPr>
            <w:tcW w:w="454" w:type="pct"/>
            <w:vAlign w:val="center"/>
          </w:tcPr>
          <w:p w:rsidR="008C77EA" w:rsidRDefault="008C77EA" w:rsidP="0020747E">
            <w:pPr>
              <w:jc w:val="center"/>
            </w:pPr>
            <w:r w:rsidRPr="00A60BF8">
              <w:t>3.784</w:t>
            </w:r>
          </w:p>
          <w:p w:rsidR="008C77EA" w:rsidRDefault="008C77EA" w:rsidP="0020747E">
            <w:pPr>
              <w:jc w:val="center"/>
            </w:pPr>
            <w:r>
              <w:t>(2021)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lastRenderedPageBreak/>
              <w:t>2.</w:t>
            </w:r>
          </w:p>
        </w:tc>
        <w:tc>
          <w:tcPr>
            <w:tcW w:w="3389" w:type="pct"/>
            <w:gridSpan w:val="7"/>
          </w:tcPr>
          <w:p w:rsidR="008C77EA" w:rsidRDefault="008C77EA" w:rsidP="001F09B3">
            <w:pPr>
              <w:jc w:val="both"/>
            </w:pPr>
            <w:r>
              <w:t xml:space="preserve">Pantelić M, </w:t>
            </w:r>
            <w:r w:rsidRPr="00A820F4">
              <w:rPr>
                <w:b/>
              </w:rPr>
              <w:t>Gvozdenovic L</w:t>
            </w:r>
            <w:r>
              <w:rPr>
                <w:b/>
              </w:rPr>
              <w:t>j</w:t>
            </w:r>
            <w:r>
              <w:t xml:space="preserve">, Panjković M, Stojić M, Stajić D, Petrić A, </w:t>
            </w:r>
            <w:r w:rsidR="001F09B3">
              <w:t>et al</w:t>
            </w:r>
            <w:r>
              <w:t xml:space="preserve">. </w:t>
            </w:r>
            <w:hyperlink r:id="rId8" w:history="1">
              <w:r w:rsidRPr="00A820F4">
                <w:rPr>
                  <w:rStyle w:val="Hyperlink"/>
                </w:rPr>
                <w:t>Manifestation of an undifferentiated uterine sarcoma in a 51 years old patient and its prognosis: A case report</w:t>
              </w:r>
            </w:hyperlink>
            <w:r>
              <w:t>. Medicine (Baltimore). 2022 Dec 30;101(52):e32552</w:t>
            </w:r>
            <w:r w:rsidR="001F09B3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8C77EA" w:rsidRDefault="008C77EA" w:rsidP="0020747E">
            <w:pPr>
              <w:jc w:val="center"/>
            </w:pPr>
            <w:r>
              <w:t>99/169</w:t>
            </w:r>
          </w:p>
          <w:p w:rsidR="008C77EA" w:rsidRPr="000245C8" w:rsidRDefault="008C77EA" w:rsidP="0020747E">
            <w:pPr>
              <w:jc w:val="center"/>
            </w:pPr>
            <w:r>
              <w:t>(2020)</w:t>
            </w:r>
          </w:p>
        </w:tc>
        <w:tc>
          <w:tcPr>
            <w:tcW w:w="413" w:type="pct"/>
            <w:gridSpan w:val="2"/>
            <w:vAlign w:val="center"/>
          </w:tcPr>
          <w:p w:rsidR="008C77EA" w:rsidRDefault="008C77EA" w:rsidP="002074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8C77EA" w:rsidRPr="000245C8" w:rsidRDefault="008C77EA" w:rsidP="002074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(2020)</w:t>
            </w:r>
          </w:p>
        </w:tc>
        <w:tc>
          <w:tcPr>
            <w:tcW w:w="454" w:type="pct"/>
            <w:vAlign w:val="center"/>
          </w:tcPr>
          <w:p w:rsidR="008C77EA" w:rsidRDefault="008C77EA" w:rsidP="0020747E">
            <w:pPr>
              <w:jc w:val="center"/>
            </w:pPr>
            <w:r>
              <w:t>1.889</w:t>
            </w:r>
          </w:p>
          <w:p w:rsidR="008C77EA" w:rsidRPr="000245C8" w:rsidRDefault="008C77EA" w:rsidP="0020747E">
            <w:pPr>
              <w:jc w:val="center"/>
            </w:pPr>
            <w:r>
              <w:t>(2020)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3.</w:t>
            </w:r>
          </w:p>
        </w:tc>
        <w:tc>
          <w:tcPr>
            <w:tcW w:w="3389" w:type="pct"/>
            <w:gridSpan w:val="7"/>
          </w:tcPr>
          <w:p w:rsidR="008C77EA" w:rsidRPr="000245C8" w:rsidRDefault="001F161B" w:rsidP="001F09B3">
            <w:pPr>
              <w:jc w:val="both"/>
            </w:pPr>
            <w:hyperlink r:id="rId9" w:history="1">
              <w:r w:rsidR="008C77EA" w:rsidRPr="000245C8">
                <w:rPr>
                  <w:rStyle w:val="Hyperlink"/>
                  <w:color w:val="auto"/>
                  <w:u w:val="none"/>
                </w:rPr>
                <w:t>Bagi B</w:t>
              </w:r>
            </w:hyperlink>
            <w:r w:rsidR="008C77EA" w:rsidRPr="000245C8">
              <w:t xml:space="preserve">, </w:t>
            </w:r>
            <w:hyperlink r:id="rId10" w:history="1">
              <w:r w:rsidR="008C77EA" w:rsidRPr="000245C8">
                <w:rPr>
                  <w:rStyle w:val="Hyperlink"/>
                  <w:color w:val="auto"/>
                  <w:u w:val="none"/>
                </w:rPr>
                <w:t>Bagi T</w:t>
              </w:r>
            </w:hyperlink>
            <w:r w:rsidR="008C77EA" w:rsidRPr="000245C8">
              <w:t xml:space="preserve">, </w:t>
            </w:r>
            <w:hyperlink r:id="rId11" w:history="1">
              <w:r w:rsidR="008C77EA" w:rsidRPr="000245C8">
                <w:rPr>
                  <w:rStyle w:val="Hyperlink"/>
                  <w:color w:val="auto"/>
                  <w:u w:val="none"/>
                </w:rPr>
                <w:t>Bagi D</w:t>
              </w:r>
            </w:hyperlink>
            <w:r w:rsidR="008C77EA" w:rsidRPr="000245C8">
              <w:t xml:space="preserve">, </w:t>
            </w:r>
            <w:hyperlink r:id="rId12" w:history="1">
              <w:r w:rsidR="008C77EA" w:rsidRPr="000245C8">
                <w:rPr>
                  <w:rStyle w:val="Hyperlink"/>
                  <w:color w:val="auto"/>
                  <w:u w:val="none"/>
                </w:rPr>
                <w:t>Tucić-Nemet K</w:t>
              </w:r>
            </w:hyperlink>
            <w:r w:rsidR="008C77EA" w:rsidRPr="000245C8">
              <w:t xml:space="preserve">, </w:t>
            </w:r>
            <w:hyperlink r:id="rId13" w:history="1">
              <w:r w:rsidR="008C77EA" w:rsidRPr="000245C8">
                <w:rPr>
                  <w:rStyle w:val="Hyperlink"/>
                  <w:color w:val="auto"/>
                  <w:u w:val="none"/>
                </w:rPr>
                <w:t>Maljanović M</w:t>
              </w:r>
            </w:hyperlink>
            <w:r w:rsidR="008C77EA" w:rsidRPr="000245C8">
              <w:t xml:space="preserve">, </w:t>
            </w:r>
            <w:r w:rsidR="001F09B3">
              <w:t>et al...</w:t>
            </w:r>
            <w:r w:rsidRPr="000245C8">
              <w:rPr>
                <w:b/>
              </w:rPr>
              <w:fldChar w:fldCharType="begin"/>
            </w:r>
            <w:r w:rsidR="008C77EA" w:rsidRPr="000245C8">
              <w:rPr>
                <w:b/>
              </w:rPr>
              <w:instrText xml:space="preserve"> HYPERLINK "http://scindeks.ceon.rs/Related.aspx?artaun=102566" </w:instrText>
            </w:r>
            <w:r w:rsidRPr="000245C8">
              <w:rPr>
                <w:b/>
              </w:rPr>
              <w:fldChar w:fldCharType="separate"/>
            </w:r>
            <w:r w:rsidR="008C77EA" w:rsidRPr="000245C8">
              <w:rPr>
                <w:rStyle w:val="Hyperlink"/>
                <w:b/>
                <w:color w:val="auto"/>
                <w:u w:val="none"/>
              </w:rPr>
              <w:t>Gvozdenović Lj</w:t>
            </w:r>
            <w:r w:rsidRPr="000245C8">
              <w:rPr>
                <w:b/>
              </w:rPr>
              <w:fldChar w:fldCharType="end"/>
            </w:r>
            <w:r w:rsidR="008C77EA" w:rsidRPr="000245C8">
              <w:t>.</w:t>
            </w:r>
            <w:r w:rsidR="008C77EA" w:rsidRPr="000245C8">
              <w:rPr>
                <w:vertAlign w:val="superscript"/>
              </w:rPr>
              <w:t xml:space="preserve"> </w:t>
            </w:r>
            <w:r w:rsidRPr="000245C8">
              <w:rPr>
                <w:rStyle w:val="Strong"/>
                <w:b w:val="0"/>
              </w:rPr>
              <w:fldChar w:fldCharType="begin"/>
            </w:r>
            <w:r w:rsidR="008C77EA" w:rsidRPr="000245C8">
              <w:rPr>
                <w:rStyle w:val="Strong"/>
                <w:b w:val="0"/>
              </w:rPr>
              <w:instrText xml:space="preserve"> HYPERLINK "http://www.doiserbia.nb.rs/img/doi/0370-8179/2019/0370-81791900073B.pdf" </w:instrText>
            </w:r>
            <w:r w:rsidRPr="000245C8">
              <w:rPr>
                <w:rStyle w:val="Strong"/>
                <w:b w:val="0"/>
              </w:rPr>
              <w:fldChar w:fldCharType="separate"/>
            </w:r>
            <w:r w:rsidR="008C77EA" w:rsidRPr="000245C8">
              <w:rPr>
                <w:rStyle w:val="Hyperlink"/>
              </w:rPr>
              <w:t>Dexasone and metoclopramide vs. granisetron in the prevention of postoperative nausea and vomiting</w:t>
            </w:r>
            <w:r w:rsidRPr="000245C8">
              <w:rPr>
                <w:rStyle w:val="Strong"/>
                <w:b w:val="0"/>
              </w:rPr>
              <w:fldChar w:fldCharType="end"/>
            </w:r>
            <w:r w:rsidR="008C77EA" w:rsidRPr="000245C8">
              <w:t xml:space="preserve">. Srp Arh Celok Lek. 2019;147(7-8):432-8. 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162/165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  <w:rPr>
                <w:lang w:val="en-US"/>
              </w:rPr>
            </w:pPr>
          </w:p>
          <w:p w:rsidR="008C77EA" w:rsidRPr="000245C8" w:rsidRDefault="008C77EA" w:rsidP="0020747E">
            <w:pPr>
              <w:jc w:val="center"/>
              <w:rPr>
                <w:lang w:val="en-US"/>
              </w:rPr>
            </w:pPr>
            <w:r w:rsidRPr="000245C8">
              <w:rPr>
                <w:lang w:val="en-US"/>
              </w:rPr>
              <w:t>23</w:t>
            </w:r>
          </w:p>
          <w:p w:rsidR="008C77EA" w:rsidRPr="000245C8" w:rsidRDefault="008C77EA" w:rsidP="0020747E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0.142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4.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spacing w:before="100" w:beforeAutospacing="1"/>
              <w:jc w:val="both"/>
              <w:textAlignment w:val="baseline"/>
              <w:outlineLvl w:val="0"/>
            </w:pPr>
            <w:r w:rsidRPr="000245C8">
              <w:rPr>
                <w:kern w:val="36"/>
              </w:rPr>
              <w:t xml:space="preserve">Đurić D, Mališanović G, </w:t>
            </w:r>
            <w:r w:rsidRPr="00C7019C">
              <w:rPr>
                <w:b/>
                <w:kern w:val="36"/>
              </w:rPr>
              <w:t>Gvozdenović Lj</w:t>
            </w:r>
            <w:r w:rsidRPr="000245C8">
              <w:rPr>
                <w:kern w:val="36"/>
              </w:rPr>
              <w:t xml:space="preserve">. </w:t>
            </w:r>
            <w:hyperlink r:id="rId14" w:history="1">
              <w:r w:rsidRPr="000245C8">
                <w:rPr>
                  <w:rStyle w:val="Hyperlink"/>
                  <w:kern w:val="36"/>
                </w:rPr>
                <w:t>Thoracoscore: predicting risk of in-hospital mortality for patients undergoing pulmonary resection</w:t>
              </w:r>
            </w:hyperlink>
            <w:r w:rsidRPr="000245C8">
              <w:rPr>
                <w:kern w:val="36"/>
              </w:rPr>
              <w:t>. Vojnosanit Pregl. 2018;75(3):297-300.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155/160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  <w:rPr>
                <w:lang w:val="sr-Cyrl-CS"/>
              </w:rPr>
            </w:pPr>
            <w:r w:rsidRPr="000245C8">
              <w:rPr>
                <w:lang w:val="sr-Cyrl-CS"/>
              </w:rPr>
              <w:t>23</w:t>
            </w:r>
          </w:p>
          <w:p w:rsidR="008C77EA" w:rsidRPr="000245C8" w:rsidRDefault="008C77EA" w:rsidP="0020747E">
            <w:pPr>
              <w:jc w:val="center"/>
              <w:rPr>
                <w:lang w:val="sr-Cyrl-CS"/>
              </w:rPr>
            </w:pP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0</w:t>
            </w:r>
            <w:r>
              <w:t>.</w:t>
            </w:r>
            <w:r w:rsidRPr="000245C8">
              <w:t>272</w:t>
            </w:r>
          </w:p>
          <w:p w:rsidR="008C77EA" w:rsidRPr="000245C8" w:rsidRDefault="008C77EA" w:rsidP="0020747E">
            <w:pPr>
              <w:jc w:val="center"/>
            </w:pP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5.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245C8">
              <w:rPr>
                <w:color w:val="000000"/>
                <w:sz w:val="20"/>
                <w:szCs w:val="20"/>
              </w:rPr>
              <w:t>Knežević</w:t>
            </w:r>
            <w:proofErr w:type="spellEnd"/>
            <w:r w:rsidRPr="000245C8">
              <w:rPr>
                <w:color w:val="000000"/>
                <w:sz w:val="20"/>
                <w:szCs w:val="20"/>
              </w:rPr>
              <w:t xml:space="preserve"> V, </w:t>
            </w:r>
            <w:proofErr w:type="spellStart"/>
            <w:r w:rsidRPr="000245C8">
              <w:rPr>
                <w:color w:val="000000"/>
                <w:sz w:val="20"/>
                <w:szCs w:val="20"/>
              </w:rPr>
              <w:t>Đurđević</w:t>
            </w:r>
            <w:proofErr w:type="spellEnd"/>
            <w:r w:rsidRPr="000245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5C8">
              <w:rPr>
                <w:color w:val="000000"/>
                <w:sz w:val="20"/>
                <w:szCs w:val="20"/>
              </w:rPr>
              <w:t>Mirković</w:t>
            </w:r>
            <w:proofErr w:type="spellEnd"/>
            <w:r w:rsidRPr="000245C8">
              <w:rPr>
                <w:color w:val="000000"/>
                <w:sz w:val="20"/>
                <w:szCs w:val="20"/>
              </w:rPr>
              <w:t xml:space="preserve"> T, </w:t>
            </w:r>
            <w:proofErr w:type="spellStart"/>
            <w:r w:rsidRPr="000245C8">
              <w:rPr>
                <w:color w:val="000000"/>
                <w:sz w:val="20"/>
                <w:szCs w:val="20"/>
              </w:rPr>
              <w:t>Božić</w:t>
            </w:r>
            <w:proofErr w:type="spellEnd"/>
            <w:r w:rsidRPr="000245C8">
              <w:rPr>
                <w:color w:val="000000"/>
                <w:sz w:val="20"/>
                <w:szCs w:val="20"/>
              </w:rPr>
              <w:t xml:space="preserve"> D, </w:t>
            </w:r>
            <w:proofErr w:type="spellStart"/>
            <w:r w:rsidRPr="000245C8">
              <w:rPr>
                <w:color w:val="000000"/>
                <w:sz w:val="20"/>
                <w:szCs w:val="20"/>
              </w:rPr>
              <w:t>Stražmešter</w:t>
            </w:r>
            <w:proofErr w:type="spellEnd"/>
            <w:r w:rsidRPr="000245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5C8">
              <w:rPr>
                <w:color w:val="000000"/>
                <w:sz w:val="20"/>
                <w:szCs w:val="20"/>
              </w:rPr>
              <w:t>Majstorović</w:t>
            </w:r>
            <w:proofErr w:type="spellEnd"/>
            <w:r w:rsidRPr="000245C8">
              <w:rPr>
                <w:color w:val="000000"/>
                <w:sz w:val="20"/>
                <w:szCs w:val="20"/>
              </w:rPr>
              <w:t xml:space="preserve"> G</w:t>
            </w:r>
            <w:proofErr w:type="gramStart"/>
            <w:r w:rsidRPr="000245C8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0245C8">
              <w:rPr>
                <w:color w:val="000000"/>
                <w:sz w:val="20"/>
                <w:szCs w:val="20"/>
              </w:rPr>
              <w:t>Mitić</w:t>
            </w:r>
            <w:proofErr w:type="spellEnd"/>
            <w:proofErr w:type="gramEnd"/>
            <w:r w:rsidRPr="000245C8">
              <w:rPr>
                <w:color w:val="000000"/>
                <w:sz w:val="20"/>
                <w:szCs w:val="20"/>
              </w:rPr>
              <w:t xml:space="preserve"> I, </w:t>
            </w:r>
            <w:proofErr w:type="spellStart"/>
            <w:r w:rsidRPr="000245C8">
              <w:rPr>
                <w:b/>
                <w:color w:val="000000"/>
                <w:sz w:val="20"/>
                <w:szCs w:val="20"/>
              </w:rPr>
              <w:t>Gvozdenović</w:t>
            </w:r>
            <w:proofErr w:type="spellEnd"/>
            <w:r w:rsidRPr="000245C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45C8">
              <w:rPr>
                <w:b/>
                <w:color w:val="000000"/>
                <w:sz w:val="20"/>
                <w:szCs w:val="20"/>
              </w:rPr>
              <w:t>Lj</w:t>
            </w:r>
            <w:proofErr w:type="spellEnd"/>
            <w:r w:rsidRPr="000245C8">
              <w:rPr>
                <w:color w:val="000000"/>
                <w:sz w:val="20"/>
                <w:szCs w:val="20"/>
              </w:rPr>
              <w:t xml:space="preserve">. </w:t>
            </w:r>
            <w:hyperlink r:id="rId15" w:history="1">
              <w:r w:rsidRPr="000245C8">
                <w:rPr>
                  <w:rStyle w:val="Hyperlink"/>
                  <w:sz w:val="20"/>
                  <w:szCs w:val="20"/>
                </w:rPr>
                <w:t xml:space="preserve">Risk factors for catheter-related infections in patients on </w:t>
              </w:r>
              <w:proofErr w:type="spellStart"/>
              <w:r w:rsidRPr="000245C8">
                <w:rPr>
                  <w:rStyle w:val="Hyperlink"/>
                  <w:sz w:val="20"/>
                  <w:szCs w:val="20"/>
                </w:rPr>
                <w:t>hemodialysis</w:t>
              </w:r>
              <w:proofErr w:type="spellEnd"/>
            </w:hyperlink>
            <w:r w:rsidRPr="000245C8">
              <w:rPr>
                <w:color w:val="000000"/>
                <w:sz w:val="20"/>
                <w:szCs w:val="20"/>
              </w:rPr>
              <w:t xml:space="preserve">. </w:t>
            </w:r>
          </w:p>
          <w:p w:rsidR="008C77EA" w:rsidRPr="000245C8" w:rsidRDefault="008C77EA" w:rsidP="0020747E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0245C8">
              <w:rPr>
                <w:color w:val="000000"/>
                <w:sz w:val="20"/>
                <w:szCs w:val="20"/>
              </w:rPr>
              <w:t>Vojnosanit</w:t>
            </w:r>
            <w:proofErr w:type="spellEnd"/>
            <w:r w:rsidRPr="000245C8">
              <w:rPr>
                <w:color w:val="000000"/>
                <w:sz w:val="20"/>
                <w:szCs w:val="20"/>
              </w:rPr>
              <w:t xml:space="preserve"> Pregl. 2018</w:t>
            </w:r>
            <w:proofErr w:type="gramStart"/>
            <w:r w:rsidRPr="000245C8">
              <w:rPr>
                <w:color w:val="000000"/>
                <w:sz w:val="20"/>
                <w:szCs w:val="20"/>
              </w:rPr>
              <w:t>;75</w:t>
            </w:r>
            <w:proofErr w:type="gramEnd"/>
            <w:r w:rsidRPr="000245C8">
              <w:rPr>
                <w:color w:val="000000"/>
                <w:sz w:val="20"/>
                <w:szCs w:val="20"/>
              </w:rPr>
              <w:t>(2):159–67.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155/160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  <w:rPr>
                <w:lang w:val="sr-Cyrl-CS"/>
              </w:rPr>
            </w:pPr>
            <w:r w:rsidRPr="000245C8">
              <w:rPr>
                <w:lang w:val="sr-Cyrl-CS"/>
              </w:rPr>
              <w:t>23</w:t>
            </w:r>
          </w:p>
          <w:p w:rsidR="008C77EA" w:rsidRPr="000245C8" w:rsidRDefault="008C77EA" w:rsidP="0020747E">
            <w:pPr>
              <w:jc w:val="center"/>
              <w:rPr>
                <w:lang w:val="sr-Cyrl-CS"/>
              </w:rPr>
            </w:pP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0</w:t>
            </w:r>
            <w:r>
              <w:t>.</w:t>
            </w:r>
            <w:r w:rsidRPr="000245C8">
              <w:t>272</w:t>
            </w:r>
          </w:p>
          <w:p w:rsidR="008C77EA" w:rsidRPr="000245C8" w:rsidRDefault="008C77EA" w:rsidP="0020747E">
            <w:pPr>
              <w:jc w:val="center"/>
            </w:pP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6.</w:t>
            </w:r>
          </w:p>
        </w:tc>
        <w:tc>
          <w:tcPr>
            <w:tcW w:w="3389" w:type="pct"/>
            <w:gridSpan w:val="7"/>
          </w:tcPr>
          <w:p w:rsidR="008C77EA" w:rsidRPr="000245C8" w:rsidRDefault="001F161B" w:rsidP="0020747E">
            <w:pPr>
              <w:jc w:val="both"/>
            </w:pPr>
            <w:hyperlink r:id="rId16" w:history="1">
              <w:r w:rsidR="008C77EA" w:rsidRPr="000245C8">
                <w:rPr>
                  <w:rStyle w:val="Hyperlink"/>
                  <w:color w:val="auto"/>
                  <w:u w:val="none"/>
                </w:rPr>
                <w:t>Bursac M, </w:t>
              </w:r>
            </w:hyperlink>
            <w:r w:rsidR="008C77EA" w:rsidRPr="000245C8">
              <w:t xml:space="preserve"> </w:t>
            </w:r>
            <w:hyperlink r:id="rId17" w:history="1">
              <w:r w:rsidR="008C77EA" w:rsidRPr="000245C8">
                <w:rPr>
                  <w:rStyle w:val="Hyperlink"/>
                  <w:color w:val="auto"/>
                  <w:u w:val="none"/>
                </w:rPr>
                <w:t>Atanackovic-Krstonosic M,</w:t>
              </w:r>
            </w:hyperlink>
            <w:r w:rsidR="008C77EA" w:rsidRPr="000245C8">
              <w:t xml:space="preserve">  </w:t>
            </w:r>
            <w:hyperlink r:id="rId18" w:history="1">
              <w:r w:rsidR="008C77EA" w:rsidRPr="000245C8">
                <w:rPr>
                  <w:rStyle w:val="Hyperlink"/>
                  <w:color w:val="auto"/>
                  <w:u w:val="none"/>
                </w:rPr>
                <w:t>Miladinovic J,</w:t>
              </w:r>
            </w:hyperlink>
            <w:r w:rsidR="008C77EA" w:rsidRPr="000245C8">
              <w:t xml:space="preserve"> </w:t>
            </w:r>
            <w:hyperlink r:id="rId19" w:history="1">
              <w:r w:rsidR="008C77EA" w:rsidRPr="000245C8">
                <w:rPr>
                  <w:rStyle w:val="Hyperlink"/>
                  <w:color w:val="auto"/>
                  <w:u w:val="none"/>
                </w:rPr>
                <w:t>Malencic Dj, </w:t>
              </w:r>
            </w:hyperlink>
            <w:r w:rsidR="008C77EA" w:rsidRPr="000245C8">
              <w:t xml:space="preserve"> </w:t>
            </w:r>
            <w:hyperlink r:id="rId20" w:history="1">
              <w:r w:rsidR="008C77EA" w:rsidRPr="000245C8">
                <w:rPr>
                  <w:rStyle w:val="Hyperlink"/>
                  <w:b/>
                  <w:color w:val="auto"/>
                  <w:u w:val="none"/>
                </w:rPr>
                <w:t>Gvozdenovic Lj</w:t>
              </w:r>
              <w:r w:rsidR="008C77EA" w:rsidRPr="000245C8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8C77EA" w:rsidRPr="000245C8">
              <w:t xml:space="preserve"> </w:t>
            </w:r>
            <w:hyperlink r:id="rId21" w:history="1">
              <w:r w:rsidR="008C77EA" w:rsidRPr="000245C8">
                <w:rPr>
                  <w:rStyle w:val="Hyperlink"/>
                  <w:color w:val="auto"/>
                  <w:u w:val="none"/>
                </w:rPr>
                <w:t>Hogervorst-Cvejic J</w:t>
              </w:r>
            </w:hyperlink>
            <w:r w:rsidR="008C77EA" w:rsidRPr="000245C8">
              <w:t xml:space="preserve">.  </w:t>
            </w:r>
            <w:hyperlink r:id="rId22" w:history="1">
              <w:r w:rsidR="008C77EA" w:rsidRPr="000245C8">
                <w:rPr>
                  <w:rStyle w:val="Hyperlink"/>
                </w:rPr>
                <w:t>Isoflavone composition, total phenolic content and antioxidant capacity of soybeans with colored seed coat</w:t>
              </w:r>
            </w:hyperlink>
            <w:r w:rsidR="008C77EA" w:rsidRPr="000245C8">
              <w:t xml:space="preserve">. </w:t>
            </w:r>
            <w:r w:rsidR="008C77EA" w:rsidRPr="000245C8">
              <w:rPr>
                <w:rStyle w:val="medium-bold"/>
              </w:rPr>
              <w:t>Nat Prod Commun.</w:t>
            </w:r>
            <w:r w:rsidR="008C77EA" w:rsidRPr="000245C8">
              <w:t xml:space="preserve"> 2017;12(4):527-32.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 xml:space="preserve">56/59 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23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0.809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7.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jc w:val="both"/>
            </w:pPr>
            <w:r w:rsidRPr="000245C8">
              <w:t>Knežević</w:t>
            </w:r>
            <w:r w:rsidRPr="000245C8">
              <w:rPr>
                <w:lang w:val="sr-Cyrl-CS"/>
              </w:rPr>
              <w:t xml:space="preserve"> А</w:t>
            </w:r>
            <w:r w:rsidRPr="000245C8">
              <w:t>, Stojšić</w:t>
            </w:r>
            <w:r w:rsidRPr="000245C8">
              <w:rPr>
                <w:lang w:val="sr-Cyrl-CS"/>
              </w:rPr>
              <w:t xml:space="preserve"> М</w:t>
            </w:r>
            <w:r w:rsidRPr="000245C8">
              <w:t xml:space="preserve">, </w:t>
            </w:r>
            <w:r w:rsidRPr="000245C8">
              <w:rPr>
                <w:b/>
              </w:rPr>
              <w:t>Gvozdenović</w:t>
            </w:r>
            <w:r w:rsidRPr="000245C8">
              <w:rPr>
                <w:b/>
                <w:lang w:val="sr-Cyrl-CS"/>
              </w:rPr>
              <w:t xml:space="preserve"> </w:t>
            </w:r>
            <w:r w:rsidRPr="000245C8">
              <w:rPr>
                <w:b/>
              </w:rPr>
              <w:t>Lj</w:t>
            </w:r>
            <w:r w:rsidRPr="000245C8">
              <w:rPr>
                <w:lang w:val="sr-Cyrl-CS"/>
              </w:rPr>
              <w:t xml:space="preserve">. </w:t>
            </w:r>
            <w:hyperlink r:id="rId23" w:history="1">
              <w:r w:rsidRPr="000245C8">
                <w:rPr>
                  <w:rStyle w:val="Hyperlink"/>
                </w:rPr>
                <w:t>Safety and clinical effectiveness of propofol for endoscopic retrograde cholangiopancreatography</w:t>
              </w:r>
            </w:hyperlink>
            <w:r w:rsidRPr="000245C8">
              <w:t xml:space="preserve">. </w:t>
            </w:r>
            <w:r w:rsidRPr="000245C8">
              <w:rPr>
                <w:rStyle w:val="medium-bold"/>
              </w:rPr>
              <w:t>Eur J Intern Med</w:t>
            </w:r>
            <w:r w:rsidRPr="000245C8">
              <w:t>. 2016;32:e25.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28/154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25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2.960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8.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jc w:val="both"/>
              <w:rPr>
                <w:b/>
              </w:rPr>
            </w:pPr>
            <w:r w:rsidRPr="000245C8">
              <w:rPr>
                <w:b/>
              </w:rPr>
              <w:t xml:space="preserve">Gvozdenovic Lj, </w:t>
            </w:r>
            <w:r w:rsidRPr="000245C8">
              <w:t>Knezevic A. Target-controlled infusion sedation for colonoscopy interventions (Letter). J Clin Gastroenterol. 2016;50(5):439-40.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30/79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26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3.328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9.</w:t>
            </w:r>
          </w:p>
        </w:tc>
        <w:tc>
          <w:tcPr>
            <w:tcW w:w="3389" w:type="pct"/>
            <w:gridSpan w:val="7"/>
          </w:tcPr>
          <w:p w:rsidR="008C77EA" w:rsidRPr="000245C8" w:rsidRDefault="001F161B" w:rsidP="0020747E">
            <w:pPr>
              <w:jc w:val="both"/>
            </w:pPr>
            <w:hyperlink r:id="rId24" w:anchor="ctl00_PlaceHolderMain_ctl00_ctl00_SkipLink" w:history="1">
              <w:r w:rsidRPr="001F161B">
                <w:rPr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Skip Navigation Links" style="width:.7pt;height:.7pt" o:button="t">
                    <v:imagedata r:id="rId25" r:href="rId26"/>
                  </v:shape>
                </w:pict>
              </w:r>
            </w:hyperlink>
            <w:r w:rsidR="008C77EA" w:rsidRPr="000245C8">
              <w:rPr>
                <w:bCs/>
              </w:rPr>
              <w:t xml:space="preserve">Tatić M, </w:t>
            </w:r>
            <w:r w:rsidR="008C77EA" w:rsidRPr="000245C8">
              <w:rPr>
                <w:b/>
                <w:bCs/>
              </w:rPr>
              <w:t>Gvozdenović Lj</w:t>
            </w:r>
            <w:r w:rsidR="008C77EA" w:rsidRPr="000245C8">
              <w:rPr>
                <w:bCs/>
              </w:rPr>
              <w:t xml:space="preserve">, Skeledžija-Mišković S. </w:t>
            </w:r>
            <w:hyperlink r:id="rId27" w:history="1">
              <w:r w:rsidR="008C77EA" w:rsidRPr="000245C8">
                <w:rPr>
                  <w:rStyle w:val="Hyperlink"/>
                </w:rPr>
                <w:t>Tracheobronchial foreign bodies in infants in Serbia: five-year study</w:t>
              </w:r>
            </w:hyperlink>
            <w:r w:rsidR="008C77EA" w:rsidRPr="000245C8">
              <w:t xml:space="preserve"> (Letter). Pediatr Emerg Care.</w:t>
            </w:r>
            <w:hyperlink r:id="rId28" w:history="1">
              <w:r w:rsidR="008C77EA" w:rsidRPr="000245C8">
                <w:rPr>
                  <w:rStyle w:val="Hyperlink"/>
                </w:rPr>
                <w:t xml:space="preserve"> 2016;32(3):e5</w:t>
              </w:r>
            </w:hyperlink>
            <w:r w:rsidR="008C77EA" w:rsidRPr="000245C8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14/24</w:t>
            </w:r>
          </w:p>
          <w:p w:rsidR="008C77EA" w:rsidRPr="000245C8" w:rsidRDefault="008C77EA" w:rsidP="0020747E">
            <w:pPr>
              <w:jc w:val="center"/>
            </w:pPr>
            <w:r w:rsidRPr="000245C8">
              <w:t>(2014)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25</w:t>
            </w:r>
          </w:p>
          <w:p w:rsidR="008C77EA" w:rsidRPr="000245C8" w:rsidRDefault="008C77EA" w:rsidP="0020747E">
            <w:pPr>
              <w:jc w:val="center"/>
            </w:pPr>
            <w:r w:rsidRPr="000245C8">
              <w:t>(2014)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1.046</w:t>
            </w:r>
          </w:p>
          <w:p w:rsidR="008C77EA" w:rsidRPr="000245C8" w:rsidRDefault="008C77EA" w:rsidP="0020747E">
            <w:pPr>
              <w:jc w:val="center"/>
            </w:pPr>
            <w:r w:rsidRPr="000245C8">
              <w:t>(2014)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10.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spacing w:line="218" w:lineRule="auto"/>
              <w:jc w:val="both"/>
            </w:pPr>
            <w:r w:rsidRPr="000245C8">
              <w:rPr>
                <w:b/>
              </w:rPr>
              <w:t>Gvozdenović Lj</w:t>
            </w:r>
            <w:r w:rsidRPr="000245C8">
              <w:t xml:space="preserve">, Atanacković A. </w:t>
            </w:r>
            <w:hyperlink r:id="rId29" w:history="1">
              <w:r w:rsidRPr="000245C8">
                <w:rPr>
                  <w:rStyle w:val="Hyperlink"/>
                </w:rPr>
                <w:t>History of alcohol abuse after major non-cardiac surgery and postoperative cignitive dysfunction</w:t>
              </w:r>
            </w:hyperlink>
            <w:r w:rsidRPr="000245C8">
              <w:t>. Eur J Intern Med. 2015;26(9):e51.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31/155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25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2.591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11.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spacing w:line="218" w:lineRule="auto"/>
              <w:jc w:val="both"/>
              <w:rPr>
                <w:b/>
              </w:rPr>
            </w:pPr>
            <w:r w:rsidRPr="000245C8">
              <w:t xml:space="preserve">Maric H, Cvijanovic R, Ivanov I, </w:t>
            </w:r>
            <w:r w:rsidRPr="000245C8">
              <w:rPr>
                <w:b/>
              </w:rPr>
              <w:t>Gvozdenovic Lj</w:t>
            </w:r>
            <w:r w:rsidRPr="000245C8">
              <w:t xml:space="preserve">, Ivanov D, Lalovic N. </w:t>
            </w:r>
            <w:hyperlink r:id="rId30" w:history="1">
              <w:r w:rsidRPr="000245C8">
                <w:rPr>
                  <w:rStyle w:val="Hyperlink"/>
                </w:rPr>
                <w:t>Peripheral primitive neuroectodermal tumor of the small bowel mesentery – report of a case</w:t>
              </w:r>
            </w:hyperlink>
            <w:r w:rsidRPr="000245C8">
              <w:t>. Srp Arh Celok Lek. 2015;143(9-10):619-22.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23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0.277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12.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spacing w:line="218" w:lineRule="auto"/>
              <w:jc w:val="both"/>
            </w:pPr>
            <w:r w:rsidRPr="000245C8">
              <w:rPr>
                <w:b/>
                <w:iCs/>
              </w:rPr>
              <w:t>Gvozdenović Lj,</w:t>
            </w:r>
            <w:r w:rsidRPr="000245C8">
              <w:rPr>
                <w:iCs/>
              </w:rPr>
              <w:t xml:space="preserve"> Mališanović G. </w:t>
            </w:r>
            <w:hyperlink r:id="rId31" w:history="1">
              <w:r w:rsidRPr="000245C8">
                <w:rPr>
                  <w:rStyle w:val="Hyperlink"/>
                  <w:iCs/>
                </w:rPr>
                <w:t>Neurotoxicity of general anesthetics: anesthesia and Alzheimer's disease in Serbia</w:t>
              </w:r>
            </w:hyperlink>
            <w:r w:rsidRPr="000245C8">
              <w:rPr>
                <w:iCs/>
              </w:rPr>
              <w:t xml:space="preserve"> (Letter). </w:t>
            </w:r>
            <w:r w:rsidRPr="000245C8">
              <w:rPr>
                <w:bCs/>
              </w:rPr>
              <w:t xml:space="preserve">Eur Rev Med Pharmacol Sci. 2015;19(19):3541-2. 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186/255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26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1.575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13.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jc w:val="both"/>
            </w:pPr>
            <w:r w:rsidRPr="000245C8">
              <w:rPr>
                <w:b/>
                <w:lang w:val="sr-Latn-BA"/>
              </w:rPr>
              <w:t>Gvozdenović Lj</w:t>
            </w:r>
            <w:r w:rsidRPr="000245C8">
              <w:rPr>
                <w:lang w:val="sr-Latn-BA"/>
              </w:rPr>
              <w:t xml:space="preserve">, Batak T, Mališanović G. </w:t>
            </w:r>
            <w:hyperlink r:id="rId32" w:history="1">
              <w:r w:rsidRPr="000245C8">
                <w:rPr>
                  <w:rStyle w:val="Hyperlink"/>
                  <w:lang w:val="sr-Latn-BA"/>
                </w:rPr>
                <w:t>Chronic fatigue after a night of work in Serbia (our experience)</w:t>
              </w:r>
            </w:hyperlink>
            <w:r w:rsidRPr="000245C8">
              <w:rPr>
                <w:lang w:val="sr-Latn-BA"/>
              </w:rPr>
              <w:t>. Signa Vitae. 2015;10(1):151-3.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23/24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23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0.154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14.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jc w:val="both"/>
            </w:pPr>
            <w:r w:rsidRPr="000245C8">
              <w:rPr>
                <w:b/>
              </w:rPr>
              <w:t>Gvozdenović Lj</w:t>
            </w:r>
            <w:r w:rsidRPr="000245C8">
              <w:t xml:space="preserve">, Ivanov D, Ivanov O. </w:t>
            </w:r>
            <w:hyperlink r:id="rId33" w:history="1">
              <w:r w:rsidRPr="000245C8">
                <w:rPr>
                  <w:rStyle w:val="Hyperlink"/>
                </w:rPr>
                <w:t>Levobupivacaine for local intraperitoneal anesthetics as a supplement to general anesthesia for laparoscopic surgery</w:t>
              </w:r>
            </w:hyperlink>
            <w:r w:rsidRPr="000245C8">
              <w:t>. Eur Rev Med Pharmacol Sci. 2015;19(11):1943-4.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186/255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26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1.575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15.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1F09B3">
            <w:pPr>
              <w:jc w:val="both"/>
            </w:pPr>
            <w:r w:rsidRPr="000245C8">
              <w:t>Đurđević-Mirković T</w:t>
            </w:r>
            <w:r w:rsidRPr="000245C8">
              <w:rPr>
                <w:b/>
              </w:rPr>
              <w:t>, Gvozdenović Lj</w:t>
            </w:r>
            <w:r w:rsidRPr="000245C8">
              <w:t xml:space="preserve">, Majstorović-Stražmešter G, Knežević V, Ćelić D, Mirković S, </w:t>
            </w:r>
            <w:r w:rsidR="001F09B3">
              <w:t>et al</w:t>
            </w:r>
            <w:r w:rsidRPr="000245C8">
              <w:t xml:space="preserve">. </w:t>
            </w:r>
            <w:hyperlink r:id="rId34" w:history="1">
              <w:r w:rsidRPr="000245C8">
                <w:rPr>
                  <w:rStyle w:val="Hyperlink"/>
                </w:rPr>
                <w:t>An experience with colistin applied in the treatment of immunocompromised patients with peritonitis on peritoneal dialysis</w:t>
              </w:r>
            </w:hyperlink>
            <w:r w:rsidRPr="000245C8">
              <w:t>. Vojnosanit Pregl. 2015;72(4):379-82.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23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0.355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16.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jc w:val="both"/>
              <w:rPr>
                <w:bCs/>
              </w:rPr>
            </w:pPr>
            <w:r w:rsidRPr="000245C8">
              <w:rPr>
                <w:b/>
                <w:bCs/>
              </w:rPr>
              <w:t>Gvozdenović Lj,</w:t>
            </w:r>
            <w:r w:rsidRPr="000245C8">
              <w:rPr>
                <w:bCs/>
              </w:rPr>
              <w:t xml:space="preserve"> Popović V, Dolinaj V, Đurđević-Mirković Tatjana, Mirković S. </w:t>
            </w:r>
            <w:hyperlink r:id="rId35" w:history="1">
              <w:r w:rsidRPr="000245C8">
                <w:rPr>
                  <w:rStyle w:val="Hyperlink"/>
                  <w:bCs/>
                </w:rPr>
                <w:t>An unknown ruptured hepatic aneurysm and successful endovascular stent-graft</w:t>
              </w:r>
            </w:hyperlink>
            <w:r w:rsidRPr="000245C8">
              <w:rPr>
                <w:bCs/>
              </w:rPr>
              <w:t>. Ann Ital Chir. 2014;85(5):511.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175/197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26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0.598</w:t>
            </w:r>
          </w:p>
          <w:p w:rsidR="008C77EA" w:rsidRPr="000245C8" w:rsidRDefault="008C77EA" w:rsidP="0020747E">
            <w:pPr>
              <w:jc w:val="center"/>
            </w:pP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17.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jc w:val="both"/>
              <w:rPr>
                <w:bCs/>
              </w:rPr>
            </w:pPr>
            <w:r w:rsidRPr="000245C8">
              <w:rPr>
                <w:b/>
                <w:bCs/>
              </w:rPr>
              <w:t>Gvozdenović Lj</w:t>
            </w:r>
            <w:r w:rsidRPr="000245C8">
              <w:rPr>
                <w:bCs/>
              </w:rPr>
              <w:t xml:space="preserve">, Batak T, Ivanov D, Cvijanović. </w:t>
            </w:r>
            <w:hyperlink r:id="rId36" w:history="1">
              <w:r w:rsidRPr="000245C8">
                <w:rPr>
                  <w:rStyle w:val="Hyperlink"/>
                  <w:bCs/>
                </w:rPr>
                <w:t>A survey of professional satisfaction among anaesthesiologists in Serbia</w:t>
              </w:r>
            </w:hyperlink>
            <w:r w:rsidRPr="000245C8">
              <w:rPr>
                <w:bCs/>
              </w:rPr>
              <w:t>. Arh Hig Rada Toksikol. 2014;65(4):423-4.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79/88</w:t>
            </w: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26</w:t>
            </w: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</w:p>
          <w:p w:rsidR="008C77EA" w:rsidRPr="000245C8" w:rsidRDefault="008C77EA" w:rsidP="0020747E">
            <w:pPr>
              <w:jc w:val="center"/>
            </w:pPr>
            <w:r w:rsidRPr="000245C8">
              <w:t>0.932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18.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jc w:val="both"/>
              <w:rPr>
                <w:bCs/>
              </w:rPr>
            </w:pPr>
            <w:r w:rsidRPr="000245C8">
              <w:rPr>
                <w:bCs/>
              </w:rPr>
              <w:t>Knežević V, Knežević A, Mirković T, Mališanović G</w:t>
            </w:r>
            <w:r w:rsidRPr="000245C8">
              <w:rPr>
                <w:b/>
                <w:bCs/>
              </w:rPr>
              <w:t>, Gvozdenović Lj</w:t>
            </w:r>
            <w:r w:rsidRPr="000245C8">
              <w:rPr>
                <w:bCs/>
              </w:rPr>
              <w:t xml:space="preserve">. </w:t>
            </w:r>
            <w:hyperlink r:id="rId37" w:history="1">
              <w:r w:rsidRPr="000245C8">
                <w:rPr>
                  <w:rStyle w:val="Hyperlink"/>
                  <w:bCs/>
                </w:rPr>
                <w:t>Early detection and diagnosis of vascular calcification in patients with chronic kidney disease</w:t>
              </w:r>
            </w:hyperlink>
            <w:r w:rsidRPr="000245C8">
              <w:rPr>
                <w:bCs/>
              </w:rPr>
              <w:t>. Eur J Intern Med. 2014;25(6):e79.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26/154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25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2.891</w:t>
            </w:r>
          </w:p>
          <w:p w:rsidR="008C77EA" w:rsidRPr="000245C8" w:rsidRDefault="008C77EA" w:rsidP="0020747E">
            <w:pPr>
              <w:jc w:val="center"/>
            </w:pP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19.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jc w:val="both"/>
            </w:pPr>
            <w:r w:rsidRPr="000245C8">
              <w:rPr>
                <w:b/>
                <w:bCs/>
              </w:rPr>
              <w:t>Gvozdenović L</w:t>
            </w:r>
            <w:r w:rsidRPr="000245C8">
              <w:t xml:space="preserve">, Dolinaj V, Ilić B, Vojnović M. </w:t>
            </w:r>
            <w:hyperlink r:id="rId38" w:history="1">
              <w:r w:rsidRPr="000245C8">
                <w:rPr>
                  <w:rStyle w:val="Hyperlink"/>
                </w:rPr>
                <w:t>Effects of postoperative, nonsteroidal, antiinflammatory drugs on bleeding risk after ortopedic surgery</w:t>
              </w:r>
            </w:hyperlink>
            <w:r w:rsidRPr="000245C8">
              <w:t>. Eur Rev Med Pharmacol Sci. 2014;18:2241-2.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203/255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26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1.213</w:t>
            </w:r>
          </w:p>
          <w:p w:rsidR="008C77EA" w:rsidRPr="000245C8" w:rsidRDefault="008C77EA" w:rsidP="0020747E">
            <w:pPr>
              <w:jc w:val="center"/>
            </w:pP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48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20.</w:t>
            </w:r>
          </w:p>
        </w:tc>
        <w:tc>
          <w:tcPr>
            <w:tcW w:w="3389" w:type="pct"/>
            <w:gridSpan w:val="7"/>
          </w:tcPr>
          <w:p w:rsidR="008C77EA" w:rsidRPr="000245C8" w:rsidRDefault="008C77EA" w:rsidP="0020747E">
            <w:pPr>
              <w:jc w:val="both"/>
              <w:rPr>
                <w:bCs/>
              </w:rPr>
            </w:pPr>
            <w:r w:rsidRPr="000245C8">
              <w:t xml:space="preserve">Đurđević-Mirković T, Mirkovic S, </w:t>
            </w:r>
            <w:r w:rsidRPr="000245C8">
              <w:rPr>
                <w:b/>
              </w:rPr>
              <w:t>Gvozdenovic Lj</w:t>
            </w:r>
            <w:r w:rsidRPr="000245C8">
              <w:t>, Petrovic L, Celic D.</w:t>
            </w:r>
            <w:r w:rsidRPr="000245C8">
              <w:rPr>
                <w:b/>
              </w:rPr>
              <w:t xml:space="preserve"> </w:t>
            </w:r>
            <w:hyperlink r:id="rId39" w:history="1">
              <w:r w:rsidRPr="000245C8">
                <w:rPr>
                  <w:rStyle w:val="Hyperlink"/>
                </w:rPr>
                <w:t>Incidence and risk factors of atherosclerotic cardiovascular accidents in dialysis chronic renal failure patients</w:t>
              </w:r>
            </w:hyperlink>
            <w:r w:rsidRPr="000245C8">
              <w:t xml:space="preserve"> (Letter). </w:t>
            </w:r>
            <w:r w:rsidRPr="000245C8">
              <w:rPr>
                <w:bCs/>
              </w:rPr>
              <w:t>Eur J Intern Med. 2014;25(7):e88.</w:t>
            </w:r>
          </w:p>
        </w:tc>
        <w:tc>
          <w:tcPr>
            <w:tcW w:w="496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26/154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25</w:t>
            </w:r>
          </w:p>
          <w:p w:rsidR="008C77EA" w:rsidRPr="000245C8" w:rsidRDefault="008C77EA" w:rsidP="0020747E">
            <w:pPr>
              <w:jc w:val="center"/>
            </w:pPr>
          </w:p>
        </w:tc>
        <w:tc>
          <w:tcPr>
            <w:tcW w:w="454" w:type="pct"/>
            <w:vAlign w:val="center"/>
          </w:tcPr>
          <w:p w:rsidR="008C77EA" w:rsidRPr="000245C8" w:rsidRDefault="008C77EA" w:rsidP="0020747E">
            <w:pPr>
              <w:jc w:val="center"/>
            </w:pPr>
            <w:r w:rsidRPr="000245C8">
              <w:t>2.891</w:t>
            </w:r>
          </w:p>
          <w:p w:rsidR="008C77EA" w:rsidRPr="000245C8" w:rsidRDefault="008C77EA" w:rsidP="0020747E">
            <w:pPr>
              <w:jc w:val="center"/>
            </w:pPr>
          </w:p>
        </w:tc>
      </w:tr>
      <w:tr w:rsidR="008C77EA" w:rsidRPr="00460D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C77EA" w:rsidRPr="00460DAE" w:rsidRDefault="008C77EA" w:rsidP="00460DAE">
            <w:pPr>
              <w:spacing w:after="60"/>
              <w:rPr>
                <w:b/>
                <w:lang w:val="sr-Cyrl-CS"/>
              </w:rPr>
            </w:pPr>
            <w:r w:rsidRPr="00460DA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C77EA" w:rsidRPr="00460DAE" w:rsidRDefault="008C77EA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8C77EA" w:rsidRPr="00460DAE" w:rsidRDefault="008C77EA" w:rsidP="004447D1">
            <w:r>
              <w:t>1</w:t>
            </w:r>
            <w:r w:rsidR="004447D1">
              <w:t>83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C77EA" w:rsidRPr="00460DAE" w:rsidRDefault="008C77EA" w:rsidP="00460DAE">
            <w:pPr>
              <w:spacing w:after="60"/>
              <w:rPr>
                <w:lang w:val="sr-Cyrl-CS"/>
              </w:rPr>
            </w:pPr>
            <w:r w:rsidRPr="00460DA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8C77EA" w:rsidRPr="00460DAE" w:rsidRDefault="00004228" w:rsidP="00460DAE">
            <w:r>
              <w:t>32</w:t>
            </w:r>
          </w:p>
        </w:tc>
      </w:tr>
      <w:tr w:rsidR="008C77EA" w:rsidRPr="00460DAE" w:rsidTr="00460DA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C77EA" w:rsidRPr="00460DAE" w:rsidRDefault="008C77EA" w:rsidP="00460DAE">
            <w:pPr>
              <w:spacing w:after="60"/>
              <w:rPr>
                <w:b/>
                <w:lang w:val="sr-Cyrl-CS"/>
              </w:rPr>
            </w:pPr>
            <w:r w:rsidRPr="00460DAE">
              <w:rPr>
                <w:lang w:val="sr-Cyrl-CS"/>
              </w:rPr>
              <w:lastRenderedPageBreak/>
              <w:t>Тренутно учешће на пројектима</w:t>
            </w:r>
          </w:p>
        </w:tc>
        <w:tc>
          <w:tcPr>
            <w:tcW w:w="1148" w:type="pct"/>
            <w:gridSpan w:val="3"/>
            <w:vAlign w:val="center"/>
          </w:tcPr>
          <w:p w:rsidR="008C77EA" w:rsidRPr="00460DAE" w:rsidRDefault="008C77EA" w:rsidP="00460DAE">
            <w:pPr>
              <w:spacing w:after="60"/>
              <w:rPr>
                <w:b/>
                <w:lang w:val="sr-Cyrl-CS"/>
              </w:rPr>
            </w:pPr>
            <w:r w:rsidRPr="00460DAE">
              <w:rPr>
                <w:lang w:val="sr-Cyrl-CS"/>
              </w:rPr>
              <w:t>Домаћи</w:t>
            </w:r>
          </w:p>
        </w:tc>
        <w:tc>
          <w:tcPr>
            <w:tcW w:w="1531" w:type="pct"/>
            <w:gridSpan w:val="6"/>
            <w:vAlign w:val="center"/>
          </w:tcPr>
          <w:p w:rsidR="008C77EA" w:rsidRPr="00460DAE" w:rsidRDefault="008C77EA" w:rsidP="00460DAE">
            <w:pPr>
              <w:spacing w:after="60"/>
              <w:rPr>
                <w:b/>
                <w:lang w:val="sr-Cyrl-CS"/>
              </w:rPr>
            </w:pPr>
            <w:r w:rsidRPr="00460DAE">
              <w:rPr>
                <w:lang w:val="sr-Cyrl-CS"/>
              </w:rPr>
              <w:t>Међународни: 1</w:t>
            </w:r>
          </w:p>
        </w:tc>
      </w:tr>
      <w:tr w:rsidR="008C77EA" w:rsidRPr="00460DAE" w:rsidTr="0020747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C77EA" w:rsidRPr="00460DAE" w:rsidRDefault="008C77EA" w:rsidP="00460DAE">
            <w:pPr>
              <w:spacing w:after="60"/>
              <w:rPr>
                <w:b/>
                <w:lang w:val="sr-Cyrl-CS"/>
              </w:rPr>
            </w:pPr>
            <w:r w:rsidRPr="00460DA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8C77EA" w:rsidRPr="00460DAE" w:rsidRDefault="008C77EA" w:rsidP="00460DAE">
            <w:pPr>
              <w:jc w:val="both"/>
              <w:rPr>
                <w:lang w:val="sr-Cyrl-CS"/>
              </w:rPr>
            </w:pPr>
            <w:r w:rsidRPr="00460DAE">
              <w:rPr>
                <w:lang w:val="sr-Cyrl-CS"/>
              </w:rPr>
              <w:t xml:space="preserve">У току специјализације, одслушала је два семестра предавања на Институту за хирургију и четири семестра на  катедри  </w:t>
            </w:r>
            <w:r>
              <w:rPr>
                <w:lang w:val="sr-Cyrl-CS"/>
              </w:rPr>
              <w:t>п</w:t>
            </w:r>
            <w:r w:rsidRPr="00460DAE">
              <w:rPr>
                <w:lang w:val="sr-Cyrl-CS"/>
              </w:rPr>
              <w:t xml:space="preserve">роф.  др  Предрага  Лалевића,  у  болници  "Драгиша Мишовић" у Београду. Осим тога, у току специјализантског стажа, 1988. године, провела је два месеца на стручном усавршавању у </w:t>
            </w:r>
            <w:r>
              <w:rPr>
                <w:lang w:val="sr-Cyrl-CS"/>
              </w:rPr>
              <w:t>К</w:t>
            </w:r>
            <w:r w:rsidRPr="00460DAE">
              <w:rPr>
                <w:lang w:val="sr-Cyrl-CS"/>
              </w:rPr>
              <w:t xml:space="preserve">анади, у болници </w:t>
            </w:r>
            <w:r w:rsidRPr="00460DAE">
              <w:rPr>
                <w:i/>
                <w:lang w:val="sr-Cyrl-CS"/>
              </w:rPr>
              <w:t>The Greater Niagara General Hospital</w:t>
            </w:r>
            <w:r w:rsidRPr="00460DAE">
              <w:rPr>
                <w:lang w:val="sr-Cyrl-CS"/>
              </w:rPr>
              <w:t xml:space="preserve">, </w:t>
            </w:r>
            <w:r w:rsidRPr="00460DAE">
              <w:rPr>
                <w:i/>
                <w:lang w:val="sr-Cyrl-CS"/>
              </w:rPr>
              <w:t>Niagara Falls, Ontario</w:t>
            </w:r>
            <w:r w:rsidRPr="00460DAE">
              <w:rPr>
                <w:lang w:val="sr-Cyrl-CS"/>
              </w:rPr>
              <w:t xml:space="preserve">. Следеће године, 1989, добила је стипендију од Републичког СИЗ-а за научно усавршавање, те је  боравила у истој болници, о чему поседује сертификате. Стручно усавршавање обавила је и у  болници </w:t>
            </w:r>
            <w:r w:rsidRPr="00460DAE">
              <w:rPr>
                <w:i/>
                <w:lang w:val="sr-Cyrl-CS"/>
              </w:rPr>
              <w:t>Cornell Universuty, New York</w:t>
            </w:r>
            <w:r w:rsidRPr="00460DA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као</w:t>
            </w:r>
            <w:r w:rsidRPr="00460DA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460DAE">
              <w:rPr>
                <w:lang w:val="sr-Cyrl-CS"/>
              </w:rPr>
              <w:t xml:space="preserve"> </w:t>
            </w:r>
            <w:r w:rsidRPr="00460DAE">
              <w:rPr>
                <w:i/>
                <w:lang w:val="sr-Cyrl-CS"/>
              </w:rPr>
              <w:t>Harvard, Boston, USA</w:t>
            </w:r>
            <w:r w:rsidRPr="00460DAE">
              <w:rPr>
                <w:lang w:val="sr-Cyrl-CS"/>
              </w:rPr>
              <w:t>. У оквиру струч</w:t>
            </w:r>
            <w:r>
              <w:rPr>
                <w:lang w:val="sr-Cyrl-CS"/>
              </w:rPr>
              <w:t xml:space="preserve">ног усавршавања,  у  болницама </w:t>
            </w:r>
            <w:r w:rsidRPr="00460DAE">
              <w:rPr>
                <w:i/>
                <w:lang w:val="sr-Cyrl-CS"/>
              </w:rPr>
              <w:t>The  G</w:t>
            </w:r>
            <w:r>
              <w:rPr>
                <w:i/>
                <w:lang w:val="sr-Cyrl-CS"/>
              </w:rPr>
              <w:t>reater Niagara General Hospital</w:t>
            </w:r>
            <w:r w:rsidRPr="00460DAE">
              <w:rPr>
                <w:i/>
                <w:lang w:val="sr-Cyrl-CS"/>
              </w:rPr>
              <w:t>, Niagara Falls, Ontario,  Canada</w:t>
            </w:r>
            <w:r>
              <w:rPr>
                <w:lang w:val="sr-Cyrl-CS"/>
              </w:rPr>
              <w:t xml:space="preserve">,  </w:t>
            </w:r>
            <w:r w:rsidRPr="00460DAE">
              <w:rPr>
                <w:i/>
                <w:lang w:val="sr-Cyrl-CS"/>
              </w:rPr>
              <w:t>General</w:t>
            </w:r>
            <w:r w:rsidRPr="00460DAE">
              <w:rPr>
                <w:lang w:val="sr-Cyrl-CS"/>
              </w:rPr>
              <w:t xml:space="preserve">  </w:t>
            </w:r>
            <w:r w:rsidRPr="00460DAE">
              <w:rPr>
                <w:i/>
                <w:lang w:val="sr-Cyrl-CS"/>
              </w:rPr>
              <w:t>Hospital</w:t>
            </w:r>
            <w:r w:rsidRPr="00460DA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у Торонту као и  болницу, </w:t>
            </w:r>
            <w:r w:rsidRPr="00460DAE">
              <w:rPr>
                <w:i/>
                <w:lang w:val="en-US"/>
              </w:rPr>
              <w:t>St</w:t>
            </w:r>
            <w:r w:rsidRPr="00460DAE">
              <w:rPr>
                <w:i/>
                <w:lang w:val="sr-Cyrl-CS"/>
              </w:rPr>
              <w:t xml:space="preserve">. </w:t>
            </w:r>
            <w:r w:rsidRPr="00460DAE">
              <w:rPr>
                <w:i/>
                <w:lang w:val="en-US"/>
              </w:rPr>
              <w:t>Luis</w:t>
            </w:r>
            <w:r w:rsidRPr="00460DAE">
              <w:rPr>
                <w:lang w:val="sr-Cyrl-CS"/>
              </w:rPr>
              <w:t xml:space="preserve">, у Монтреалу. Исте године је на позив </w:t>
            </w:r>
            <w:r w:rsidRPr="00460DAE">
              <w:rPr>
                <w:i/>
                <w:lang w:val="sr-Cyrl-CS"/>
              </w:rPr>
              <w:t>Cornell University</w:t>
            </w:r>
            <w:r w:rsidRPr="00460DAE">
              <w:rPr>
                <w:lang w:val="sr-Cyrl-CS"/>
              </w:rPr>
              <w:t xml:space="preserve">, из  </w:t>
            </w:r>
            <w:r>
              <w:t>Њујорка</w:t>
            </w:r>
            <w:r w:rsidRPr="00460DAE">
              <w:rPr>
                <w:lang w:val="sr-Cyrl-CS"/>
              </w:rPr>
              <w:t>, учествовала на  семинару из  анестезије,   који   се   одржавао   у Сал</w:t>
            </w:r>
            <w:r>
              <w:rPr>
                <w:lang w:val="sr-Cyrl-CS"/>
              </w:rPr>
              <w:t>ц</w:t>
            </w:r>
            <w:r w:rsidRPr="00460DAE">
              <w:rPr>
                <w:lang w:val="sr-Cyrl-CS"/>
              </w:rPr>
              <w:t>бургу,  са  редовним  целодневним  предавањима  и  вечерњим стручним посе</w:t>
            </w:r>
            <w:r>
              <w:rPr>
                <w:lang w:val="sr-Cyrl-CS"/>
              </w:rPr>
              <w:t xml:space="preserve">тама болници </w:t>
            </w:r>
            <w:r w:rsidRPr="00460DAE">
              <w:rPr>
                <w:i/>
                <w:lang w:val="sr-Cyrl-CS"/>
              </w:rPr>
              <w:t>St. Marck</w:t>
            </w:r>
            <w:r w:rsidRPr="00460DAE">
              <w:rPr>
                <w:lang w:val="sr-Cyrl-CS"/>
              </w:rPr>
              <w:t>. Боравил</w:t>
            </w:r>
            <w:r>
              <w:rPr>
                <w:lang w:val="sr-Cyrl-CS"/>
              </w:rPr>
              <w:t xml:space="preserve">а је на стручном усавршавању у </w:t>
            </w:r>
            <w:r w:rsidRPr="00460DAE">
              <w:rPr>
                <w:i/>
                <w:lang w:val="sr-Cyrl-CS"/>
              </w:rPr>
              <w:t>Chelsea and  Westminster  Hospital</w:t>
            </w:r>
            <w:r w:rsidRPr="00460DAE">
              <w:rPr>
                <w:lang w:val="sr-Cyrl-CS"/>
              </w:rPr>
              <w:t xml:space="preserve">, Лондон, </w:t>
            </w:r>
            <w:r>
              <w:rPr>
                <w:lang w:val="sr-Cyrl-CS"/>
              </w:rPr>
              <w:t>Велика Британија</w:t>
            </w:r>
            <w:r w:rsidRPr="00460DAE">
              <w:rPr>
                <w:lang w:val="sr-Cyrl-CS"/>
              </w:rPr>
              <w:t xml:space="preserve">, на позив еминентног </w:t>
            </w:r>
            <w:r>
              <w:rPr>
                <w:lang w:val="sr-Cyrl-CS"/>
              </w:rPr>
              <w:t>п</w:t>
            </w:r>
            <w:r w:rsidRPr="00460DAE">
              <w:rPr>
                <w:lang w:val="sr-Cyrl-CS"/>
              </w:rPr>
              <w:t>роф</w:t>
            </w:r>
            <w:r>
              <w:rPr>
                <w:lang w:val="sr-Cyrl-CS"/>
              </w:rPr>
              <w:t>.</w:t>
            </w:r>
            <w:r w:rsidRPr="00460DAE">
              <w:rPr>
                <w:lang w:val="sr-Cyrl-CS"/>
              </w:rPr>
              <w:t xml:space="preserve"> др </w:t>
            </w:r>
            <w:r w:rsidRPr="00460DAE">
              <w:rPr>
                <w:i/>
                <w:lang w:val="sr-Cyrl-CS"/>
              </w:rPr>
              <w:t>Neil Soni</w:t>
            </w:r>
            <w:r w:rsidRPr="00460DAE">
              <w:rPr>
                <w:lang w:val="sr-Cyrl-CS"/>
              </w:rPr>
              <w:t xml:space="preserve">. </w:t>
            </w:r>
          </w:p>
          <w:p w:rsidR="008C77EA" w:rsidRPr="00460DAE" w:rsidRDefault="008C77EA" w:rsidP="00664626">
            <w:pPr>
              <w:jc w:val="both"/>
              <w:rPr>
                <w:lang w:val="sr-Cyrl-CS"/>
              </w:rPr>
            </w:pPr>
            <w:r w:rsidRPr="00460DAE">
              <w:rPr>
                <w:lang w:val="sr-Cyrl-CS"/>
              </w:rPr>
              <w:t>Завршила је курс  "Менаџер Делфин" Агенције о професионалном профилу менаџера у медицини, о чему поседује сертификат. 1999. године,  добила је диплому Српског Лекарског Друштва, за дугогодишњи успешан рад и постигнуте резултате. Учествовала је на престижном 5</w:t>
            </w:r>
            <w:r w:rsidRPr="00460DAE">
              <w:rPr>
                <w:i/>
                <w:vertAlign w:val="superscript"/>
                <w:lang w:val="sr-Cyrl-CS"/>
              </w:rPr>
              <w:t>th</w:t>
            </w:r>
            <w:r w:rsidRPr="00460DAE">
              <w:rPr>
                <w:i/>
                <w:lang w:val="sr-Cyrl-CS"/>
              </w:rPr>
              <w:t xml:space="preserve"> Utinensis Meeting</w:t>
            </w:r>
            <w:r w:rsidRPr="00460DAE">
              <w:rPr>
                <w:lang w:val="sr-Cyrl-CS"/>
              </w:rPr>
              <w:t xml:space="preserve"> </w:t>
            </w:r>
            <w:r w:rsidRPr="00460DAE">
              <w:rPr>
                <w:i/>
                <w:lang w:val="sr-Cyrl-CS"/>
              </w:rPr>
              <w:t>Liver anasethesia and Intensive Care</w:t>
            </w:r>
            <w:r w:rsidRPr="00460DAE">
              <w:rPr>
                <w:lang w:val="sr-Cyrl-CS"/>
              </w:rPr>
              <w:t>, и</w:t>
            </w:r>
            <w:r>
              <w:rPr>
                <w:lang w:val="sr-Cyrl-CS"/>
              </w:rPr>
              <w:t xml:space="preserve"> </w:t>
            </w:r>
            <w:r w:rsidRPr="00460DAE">
              <w:rPr>
                <w:i/>
                <w:lang w:val="sr-Cyrl-CS"/>
              </w:rPr>
              <w:t>Post graduate course – Monitornig  and management of volemia in anesthesia and intensive care</w:t>
            </w:r>
            <w:r w:rsidRPr="00460DAE">
              <w:rPr>
                <w:lang w:val="sr-Cyrl-CS"/>
              </w:rPr>
              <w:t xml:space="preserve"> ,   Тарвисио, Итали</w:t>
            </w:r>
            <w:r>
              <w:rPr>
                <w:lang w:val="sr-Cyrl-CS"/>
              </w:rPr>
              <w:t>ј</w:t>
            </w:r>
            <w:r w:rsidRPr="00460DAE">
              <w:rPr>
                <w:lang w:val="sr-Cyrl-CS"/>
              </w:rPr>
              <w:t>а.</w:t>
            </w:r>
            <w:r>
              <w:rPr>
                <w:lang w:val="sr-Cyrl-CS"/>
              </w:rPr>
              <w:t xml:space="preserve"> </w:t>
            </w:r>
            <w:r w:rsidRPr="00460DAE">
              <w:rPr>
                <w:lang w:val="sr-Cyrl-CS"/>
              </w:rPr>
              <w:t>Исте године, у фебруару месецу добија Уверење  као предавач, у едукативном семинару из Ургентне медицине "Савремени приступ прехоспиталном збрињавању ургентних стања", у организацији катедре за ургентну медицину у сарадњи са Италијанском хуманитарном организацијом ЦОСВ, на Медиц</w:t>
            </w:r>
            <w:r>
              <w:rPr>
                <w:lang w:val="sr-Cyrl-CS"/>
              </w:rPr>
              <w:t xml:space="preserve">инском факултету у Новом Саду. </w:t>
            </w:r>
            <w:r w:rsidRPr="00460DAE">
              <w:rPr>
                <w:lang w:val="sr-Cyrl-CS"/>
              </w:rPr>
              <w:t xml:space="preserve">У децембру месецу 2002. године, након поновљеног семинара, </w:t>
            </w:r>
            <w:r>
              <w:rPr>
                <w:lang w:val="sr-Cyrl-CS"/>
              </w:rPr>
              <w:t>п</w:t>
            </w:r>
            <w:r w:rsidRPr="00460DAE">
              <w:rPr>
                <w:lang w:val="sr-Cyrl-CS"/>
              </w:rPr>
              <w:t xml:space="preserve">роф др Љиљана Гвозденовић, поново, добија доплому као предавач и као демонстратор.   </w:t>
            </w:r>
          </w:p>
        </w:tc>
      </w:tr>
      <w:tr w:rsidR="008C77EA" w:rsidRPr="00460DA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C77EA" w:rsidRPr="00460DAE" w:rsidRDefault="008C77EA" w:rsidP="00460DAE">
            <w:pPr>
              <w:spacing w:after="60"/>
              <w:rPr>
                <w:b/>
                <w:lang w:val="sr-Cyrl-CS"/>
              </w:rPr>
            </w:pPr>
            <w:r w:rsidRPr="00460DA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8C77EA" w:rsidRPr="00664626" w:rsidRDefault="008C77EA" w:rsidP="0066462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Поседује сертификат</w:t>
            </w:r>
            <w:r w:rsidRPr="00664626">
              <w:rPr>
                <w:lang w:val="sr-Cyrl-CS"/>
              </w:rPr>
              <w:t xml:space="preserve"> </w:t>
            </w:r>
            <w:r w:rsidRPr="00664626">
              <w:rPr>
                <w:i/>
                <w:lang w:val="sr-Cyrl-CS"/>
              </w:rPr>
              <w:t>GOOD CLINICAL PRACTICE TRAINING, for Investigators, Research Physicians, Site Nurses, and other Research Professionals (A CONTRACT RESEARCH ORGANIZATION).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Поседује сертификат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инструктора</w:t>
            </w:r>
            <w:r w:rsidRPr="00664626">
              <w:rPr>
                <w:lang w:val="sr-Cyrl-CS"/>
              </w:rPr>
              <w:t xml:space="preserve">,  </w:t>
            </w:r>
            <w:r w:rsidRPr="00664626">
              <w:rPr>
                <w:i/>
                <w:lang w:val="sr-Cyrl-CS"/>
              </w:rPr>
              <w:t>ALS PROVIDER COURS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стране</w:t>
            </w:r>
            <w:r w:rsidRPr="00664626">
              <w:rPr>
                <w:lang w:val="sr-Cyrl-CS"/>
              </w:rPr>
              <w:t xml:space="preserve"> </w:t>
            </w:r>
            <w:r w:rsidRPr="00664626">
              <w:rPr>
                <w:i/>
                <w:lang w:val="sr-Cyrl-CS"/>
              </w:rPr>
              <w:t>EUROPEAN RESUSCITATION COUNCIL</w:t>
            </w:r>
            <w:r w:rsidRPr="00664626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Од стране</w:t>
            </w:r>
            <w:r w:rsidRPr="00664626">
              <w:rPr>
                <w:lang w:val="sr-Cyrl-CS"/>
              </w:rPr>
              <w:t xml:space="preserve"> </w:t>
            </w:r>
            <w:r w:rsidRPr="00664626">
              <w:rPr>
                <w:i/>
                <w:lang w:val="sr-Cyrl-CS"/>
              </w:rPr>
              <w:t>THE AMERICAN BIOGRAPHICAL INSTITUTE BORD OF  INTERNATIONAL RESEARCH, USA</w:t>
            </w:r>
            <w:r w:rsidRPr="00664626">
              <w:rPr>
                <w:lang w:val="sr-Cyrl-CS"/>
              </w:rPr>
              <w:t xml:space="preserve"> je </w:t>
            </w:r>
            <w:r>
              <w:rPr>
                <w:lang w:val="sr-Cyrl-CS"/>
              </w:rPr>
              <w:t xml:space="preserve">номинована за </w:t>
            </w:r>
            <w:r w:rsidRPr="00664626">
              <w:rPr>
                <w:i/>
                <w:lang w:val="sr-Cyrl-CS"/>
              </w:rPr>
              <w:t xml:space="preserve">WOMAN OF THE YEAR </w:t>
            </w:r>
            <w:r>
              <w:rPr>
                <w:lang w:val="sr-Cyrl-CS"/>
              </w:rPr>
              <w:t>2010</w:t>
            </w:r>
            <w:r w:rsidRPr="00664626">
              <w:rPr>
                <w:lang w:val="sr-Cyrl-CS"/>
              </w:rPr>
              <w:t xml:space="preserve">, </w:t>
            </w:r>
            <w:r w:rsidRPr="00664626">
              <w:rPr>
                <w:i/>
                <w:lang w:val="sr-Cyrl-CS"/>
              </w:rPr>
              <w:t>GOLD MEDAL FOR SERBIA</w:t>
            </w:r>
            <w:r w:rsidRPr="00664626">
              <w:rPr>
                <w:lang w:val="sr-Cyrl-CS"/>
              </w:rPr>
              <w:t xml:space="preserve"> (</w:t>
            </w:r>
            <w:r w:rsidRPr="00664626">
              <w:rPr>
                <w:i/>
                <w:lang w:val="sr-Cyrl-CS"/>
              </w:rPr>
              <w:t>in the name of your people and SERBIA</w:t>
            </w:r>
            <w:r w:rsidRPr="00664626">
              <w:rPr>
                <w:lang w:val="sr-Cyrl-CS"/>
              </w:rPr>
              <w:t xml:space="preserve">). 2011 </w:t>
            </w:r>
            <w:r>
              <w:rPr>
                <w:lang w:val="sr-Cyrl-CS"/>
              </w:rPr>
              <w:t xml:space="preserve">номинована је за </w:t>
            </w:r>
            <w:r w:rsidRPr="00664626">
              <w:rPr>
                <w:i/>
                <w:lang w:val="sr-Cyrl-CS"/>
              </w:rPr>
              <w:t xml:space="preserve">WOMAN OF THE YEAR </w:t>
            </w:r>
            <w:r>
              <w:rPr>
                <w:lang w:val="sr-Cyrl-CS"/>
              </w:rPr>
              <w:t>2011</w:t>
            </w:r>
            <w:r w:rsidRPr="00664626">
              <w:rPr>
                <w:lang w:val="sr-Cyrl-CS"/>
              </w:rPr>
              <w:t xml:space="preserve">. </w:t>
            </w:r>
            <w:r w:rsidRPr="00664626">
              <w:rPr>
                <w:i/>
                <w:lang w:val="sr-Cyrl-CS"/>
              </w:rPr>
              <w:t>International Biographical Centre , Cambridge, England</w:t>
            </w:r>
            <w:r w:rsidRPr="00664626">
              <w:rPr>
                <w:lang w:val="sr-Cyrl-CS"/>
              </w:rPr>
              <w:t xml:space="preserve">, je </w:t>
            </w:r>
            <w:r>
              <w:rPr>
                <w:lang w:val="sr-Cyrl-CS"/>
              </w:rPr>
              <w:t>номинована</w:t>
            </w:r>
            <w:r w:rsidRPr="00664626">
              <w:rPr>
                <w:lang w:val="sr-Cyrl-CS"/>
              </w:rPr>
              <w:t xml:space="preserve">  2011</w:t>
            </w:r>
            <w:r>
              <w:rPr>
                <w:lang w:val="sr-Cyrl-CS"/>
              </w:rPr>
              <w:t>. године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за  </w:t>
            </w:r>
            <w:r w:rsidRPr="00664626">
              <w:rPr>
                <w:i/>
                <w:lang w:val="sr-Cyrl-CS"/>
              </w:rPr>
              <w:t>2000 OUTSTANDING INTELLECTUALS OF THE 21th CENTURY, 2011</w:t>
            </w:r>
            <w:r w:rsidRPr="00664626">
              <w:rPr>
                <w:lang w:val="sr-Cyrl-CS"/>
              </w:rPr>
              <w:t xml:space="preserve">, </w:t>
            </w:r>
            <w:r w:rsidRPr="00664626">
              <w:rPr>
                <w:i/>
                <w:lang w:val="sr-Cyrl-CS"/>
              </w:rPr>
              <w:t>The Da Vinci Diamond</w:t>
            </w:r>
            <w:r>
              <w:rPr>
                <w:i/>
                <w:lang w:val="sr-Cyrl-CS"/>
              </w:rPr>
              <w:t xml:space="preserve"> </w:t>
            </w:r>
            <w:r w:rsidRPr="00664626">
              <w:rPr>
                <w:lang w:val="sr-Cyrl-CS"/>
              </w:rPr>
              <w:t xml:space="preserve">- </w:t>
            </w:r>
            <w:r w:rsidRPr="00664626">
              <w:rPr>
                <w:i/>
                <w:lang w:val="sr-Cyrl-CS"/>
              </w:rPr>
              <w:t>For Unspirational Accomplishment</w:t>
            </w:r>
            <w:r>
              <w:rPr>
                <w:lang w:val="sr-Cyrl-CS"/>
              </w:rPr>
              <w:t xml:space="preserve"> </w:t>
            </w:r>
            <w:r w:rsidRPr="00664626">
              <w:rPr>
                <w:i/>
                <w:lang w:val="sr-Cyrl-CS"/>
              </w:rPr>
              <w:t>THE INTERNATIONAL BIOFRAPHICAL CENTRE LIFETIME ACHIVEMENT AWARD</w:t>
            </w:r>
            <w:r w:rsidRPr="00664626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 xml:space="preserve">Добила је </w:t>
            </w:r>
            <w:r w:rsidRPr="00664626">
              <w:rPr>
                <w:i/>
                <w:lang w:val="sr-Cyrl-CS"/>
              </w:rPr>
              <w:t>INVITATION FOR INDUCTION INTO THE AMERICAN HALL OF FAME</w:t>
            </w:r>
            <w:r w:rsidRPr="00664626">
              <w:rPr>
                <w:lang w:val="sr-Cyrl-CS"/>
              </w:rPr>
              <w:t xml:space="preserve">,  </w:t>
            </w:r>
            <w:r w:rsidRPr="00664626">
              <w:rPr>
                <w:i/>
                <w:lang w:val="sr-Cyrl-CS"/>
              </w:rPr>
              <w:t xml:space="preserve">International Cultural Diploma Of Honor, The International Order of Merit, The International President’s Award for Iconic Achievement (Iconic  Achievers), </w:t>
            </w:r>
            <w:r>
              <w:rPr>
                <w:i/>
                <w:lang w:val="sr-Cyrl-CS"/>
              </w:rPr>
              <w:t>IBC’S SALUTE TO GREATNESS A</w:t>
            </w:r>
            <w:r w:rsidRPr="00664626">
              <w:rPr>
                <w:i/>
                <w:lang w:val="sr-Cyrl-CS"/>
              </w:rPr>
              <w:t>WARD</w:t>
            </w:r>
            <w:r>
              <w:rPr>
                <w:i/>
                <w:lang w:val="sr-Cyrl-CS"/>
              </w:rPr>
              <w:t xml:space="preserve">, </w:t>
            </w:r>
            <w:r w:rsidRPr="00664626">
              <w:rPr>
                <w:i/>
                <w:lang w:val="sr-Cyrl-CS"/>
              </w:rPr>
              <w:t>THE ORDER OF INTERNATIONAL FELLOWSHIP PEACE PRIZE</w:t>
            </w:r>
            <w:r w:rsidRPr="00664626">
              <w:rPr>
                <w:lang w:val="sr-Cyrl-CS"/>
              </w:rPr>
              <w:t xml:space="preserve">.  </w:t>
            </w:r>
            <w:r>
              <w:rPr>
                <w:lang w:val="sr-Cyrl-CS"/>
              </w:rPr>
              <w:t>Од</w:t>
            </w:r>
            <w:r w:rsidRPr="00664626">
              <w:rPr>
                <w:lang w:val="sr-Cyrl-CS"/>
              </w:rPr>
              <w:t xml:space="preserve"> </w:t>
            </w:r>
            <w:r w:rsidRPr="00664626">
              <w:rPr>
                <w:i/>
                <w:lang w:val="sr-Cyrl-CS"/>
              </w:rPr>
              <w:t>International Biographical Centre</w:t>
            </w:r>
            <w:r w:rsidRPr="00664626">
              <w:rPr>
                <w:lang w:val="sr-Cyrl-CS"/>
              </w:rPr>
              <w:t xml:space="preserve">, </w:t>
            </w:r>
            <w:r w:rsidRPr="00664626">
              <w:rPr>
                <w:i/>
                <w:lang w:val="sr-Cyrl-CS"/>
              </w:rPr>
              <w:lastRenderedPageBreak/>
              <w:t>Cambridge</w:t>
            </w:r>
            <w:r w:rsidRPr="00664626">
              <w:rPr>
                <w:lang w:val="sr-Cyrl-CS"/>
              </w:rPr>
              <w:t xml:space="preserve">, </w:t>
            </w:r>
            <w:r w:rsidRPr="00664626">
              <w:rPr>
                <w:i/>
                <w:lang w:val="sr-Cyrl-CS"/>
              </w:rPr>
              <w:t>England</w:t>
            </w:r>
            <w:r w:rsidRPr="00664626">
              <w:rPr>
                <w:lang w:val="sr-Cyrl-CS"/>
              </w:rPr>
              <w:t xml:space="preserve">, je </w:t>
            </w:r>
            <w:r>
              <w:rPr>
                <w:lang w:val="sr-Cyrl-CS"/>
              </w:rPr>
              <w:t>октобра</w:t>
            </w:r>
            <w:r w:rsidRPr="00664626">
              <w:rPr>
                <w:lang w:val="sr-Cyrl-CS"/>
              </w:rPr>
              <w:t xml:space="preserve"> 2011</w:t>
            </w:r>
            <w:r>
              <w:rPr>
                <w:lang w:val="sr-Cyrl-CS"/>
              </w:rPr>
              <w:t>.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номинована за</w:t>
            </w:r>
            <w:r w:rsidRPr="00664626">
              <w:rPr>
                <w:lang w:val="sr-Cyrl-CS"/>
              </w:rPr>
              <w:t xml:space="preserve"> </w:t>
            </w:r>
            <w:r w:rsidRPr="00664626">
              <w:rPr>
                <w:i/>
                <w:lang w:val="sr-Cyrl-CS"/>
              </w:rPr>
              <w:t>INTERNATIONAL BIOGRAPHICAL CENTRE WOMAN OF THE YEAR</w:t>
            </w:r>
            <w:r w:rsidRPr="00664626">
              <w:rPr>
                <w:lang w:val="sr-Cyrl-CS"/>
              </w:rPr>
              <w:t xml:space="preserve"> 2011. 2011. </w:t>
            </w:r>
            <w:r>
              <w:rPr>
                <w:lang w:val="sr-Cyrl-CS"/>
              </w:rPr>
              <w:t xml:space="preserve">године добила је плакету </w:t>
            </w:r>
            <w:r>
              <w:rPr>
                <w:i/>
                <w:lang w:val="sr-Cyrl-CS"/>
              </w:rPr>
              <w:t xml:space="preserve">ACADEMICIAN INVITATION </w:t>
            </w:r>
            <w:r w:rsidRPr="00664626">
              <w:rPr>
                <w:i/>
                <w:lang w:val="sr-Cyrl-CS"/>
              </w:rPr>
              <w:t>FROM THE PRESIDENT OF THE AMERICAN BIOGRAPHICAL INSTITUT</w:t>
            </w:r>
            <w:r w:rsidRPr="00664626">
              <w:rPr>
                <w:lang w:val="sr-Cyrl-CS"/>
              </w:rPr>
              <w:t xml:space="preserve">E.  </w:t>
            </w:r>
            <w:r w:rsidRPr="00664626">
              <w:rPr>
                <w:i/>
                <w:lang w:val="sr-Cyrl-CS"/>
              </w:rPr>
              <w:t>United Cultural Convention, USA</w:t>
            </w:r>
            <w:r>
              <w:rPr>
                <w:lang w:val="sr-Cyrl-CS"/>
              </w:rPr>
              <w:t xml:space="preserve"> je 2012.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номиновала за </w:t>
            </w:r>
            <w:r w:rsidRPr="00664626">
              <w:rPr>
                <w:i/>
                <w:lang w:val="sr-Cyrl-CS"/>
              </w:rPr>
              <w:t>2012 Lifetime Achievement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и </w:t>
            </w:r>
            <w:r w:rsidRPr="00664626">
              <w:rPr>
                <w:i/>
                <w:lang w:val="sr-Cyrl-CS"/>
              </w:rPr>
              <w:t>Invitation for your 2012 Induction into the  AMERICAN HALL OF FAME</w:t>
            </w:r>
            <w:r w:rsidRPr="00664626">
              <w:rPr>
                <w:lang w:val="sr-Cyrl-CS"/>
              </w:rPr>
              <w:t xml:space="preserve">. 2013  </w:t>
            </w:r>
            <w:r>
              <w:rPr>
                <w:lang w:val="sr-Cyrl-CS"/>
              </w:rPr>
              <w:t>године</w:t>
            </w:r>
            <w:r w:rsidRPr="00664626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предложена је за </w:t>
            </w:r>
            <w:r w:rsidRPr="00664626">
              <w:rPr>
                <w:i/>
                <w:lang w:val="sr-Cyrl-CS"/>
              </w:rPr>
              <w:t>HONORARY DOCTORATE OF LETTERS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 стране</w:t>
            </w:r>
            <w:r w:rsidRPr="00664626">
              <w:rPr>
                <w:lang w:val="sr-Cyrl-CS"/>
              </w:rPr>
              <w:t xml:space="preserve"> </w:t>
            </w:r>
            <w:r w:rsidRPr="00664626">
              <w:rPr>
                <w:i/>
                <w:lang w:val="sr-Cyrl-CS"/>
              </w:rPr>
              <w:t>International Biographical centre, Cambridge, England</w:t>
            </w:r>
            <w:r w:rsidRPr="00664626">
              <w:rPr>
                <w:lang w:val="sr-Cyrl-CS"/>
              </w:rPr>
              <w:t>.</w:t>
            </w:r>
          </w:p>
          <w:p w:rsidR="008C77EA" w:rsidRPr="00664626" w:rsidRDefault="008C77EA" w:rsidP="00460DAE">
            <w:pPr>
              <w:rPr>
                <w:lang w:val="sr-Cyrl-CS"/>
              </w:rPr>
            </w:pPr>
            <w:r>
              <w:rPr>
                <w:lang w:val="sr-Cyrl-CS"/>
              </w:rPr>
              <w:t>Од</w:t>
            </w:r>
            <w:r w:rsidRPr="00664626">
              <w:rPr>
                <w:lang w:val="sr-Cyrl-CS"/>
              </w:rPr>
              <w:t xml:space="preserve"> 2010. </w:t>
            </w:r>
            <w:r>
              <w:rPr>
                <w:lang w:val="sr-Cyrl-CS"/>
              </w:rPr>
              <w:t>године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налази се на месту заменика управника</w:t>
            </w:r>
            <w:r w:rsidRPr="006646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Поликлинике Клиничког центра Војводине</w:t>
            </w:r>
            <w:r w:rsidRPr="00664626">
              <w:rPr>
                <w:lang w:val="sr-Cyrl-CS"/>
              </w:rPr>
              <w:t>.</w:t>
            </w:r>
          </w:p>
          <w:p w:rsidR="008C77EA" w:rsidRPr="00664626" w:rsidRDefault="008C77EA" w:rsidP="00664626">
            <w:pPr>
              <w:jc w:val="both"/>
              <w:rPr>
                <w:lang w:val="sr-Cyrl-CS"/>
              </w:rPr>
            </w:pPr>
            <w:r w:rsidRPr="00664626">
              <w:rPr>
                <w:lang w:val="sr-Cyrl-CS"/>
              </w:rPr>
              <w:t xml:space="preserve">2010. </w:t>
            </w:r>
            <w:r>
              <w:rPr>
                <w:lang w:val="sr-Cyrl-CS"/>
              </w:rPr>
              <w:t>године</w:t>
            </w:r>
            <w:r w:rsidRPr="00664626">
              <w:rPr>
                <w:lang w:val="sr-Cyrl-CS"/>
              </w:rPr>
              <w:t xml:space="preserve"> изабрана је за члана </w:t>
            </w:r>
            <w:r>
              <w:rPr>
                <w:lang w:val="sr-Cyrl-CS"/>
              </w:rPr>
              <w:t>С</w:t>
            </w:r>
            <w:r w:rsidRPr="00664626">
              <w:rPr>
                <w:lang w:val="sr-Cyrl-CS"/>
              </w:rPr>
              <w:t>рпске академије медицинских наука, СЛД у Београду. 2011</w:t>
            </w:r>
            <w:r>
              <w:rPr>
                <w:lang w:val="sr-Cyrl-CS"/>
              </w:rPr>
              <w:t>,</w:t>
            </w:r>
            <w:r w:rsidRPr="00664626">
              <w:rPr>
                <w:lang w:val="sr-Cyrl-CS"/>
              </w:rPr>
              <w:t xml:space="preserve"> године изабрана је за члана </w:t>
            </w:r>
            <w:r>
              <w:rPr>
                <w:lang w:val="sr-Cyrl-CS"/>
              </w:rPr>
              <w:t>В</w:t>
            </w:r>
            <w:r w:rsidRPr="00664626">
              <w:rPr>
                <w:lang w:val="sr-Cyrl-CS"/>
              </w:rPr>
              <w:t>ојво</w:t>
            </w:r>
            <w:r>
              <w:rPr>
                <w:lang w:val="sr-Cyrl-CS"/>
              </w:rPr>
              <w:t>ђ</w:t>
            </w:r>
            <w:r w:rsidRPr="00664626">
              <w:rPr>
                <w:lang w:val="sr-Cyrl-CS"/>
              </w:rPr>
              <w:t xml:space="preserve">анске академије наука - огранак </w:t>
            </w:r>
            <w:r>
              <w:rPr>
                <w:lang w:val="sr-Cyrl-CS"/>
              </w:rPr>
              <w:t>С</w:t>
            </w:r>
            <w:r w:rsidRPr="00664626">
              <w:rPr>
                <w:lang w:val="sr-Cyrl-CS"/>
              </w:rPr>
              <w:t xml:space="preserve">рпске академије наука. </w:t>
            </w:r>
            <w:bookmarkStart w:id="0" w:name="_GoBack"/>
            <w:bookmarkEnd w:id="0"/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029F4"/>
    <w:rsid w:val="00004228"/>
    <w:rsid w:val="000245C8"/>
    <w:rsid w:val="000F40DD"/>
    <w:rsid w:val="00112F42"/>
    <w:rsid w:val="00127419"/>
    <w:rsid w:val="001543AE"/>
    <w:rsid w:val="00161634"/>
    <w:rsid w:val="00164707"/>
    <w:rsid w:val="001F09B3"/>
    <w:rsid w:val="001F161B"/>
    <w:rsid w:val="0020747E"/>
    <w:rsid w:val="00240793"/>
    <w:rsid w:val="002F4310"/>
    <w:rsid w:val="00320E99"/>
    <w:rsid w:val="003F177B"/>
    <w:rsid w:val="0041559C"/>
    <w:rsid w:val="004447D1"/>
    <w:rsid w:val="00460DAE"/>
    <w:rsid w:val="00474C59"/>
    <w:rsid w:val="004A6006"/>
    <w:rsid w:val="004B22F8"/>
    <w:rsid w:val="00545DB3"/>
    <w:rsid w:val="005B6DDC"/>
    <w:rsid w:val="006514B5"/>
    <w:rsid w:val="00664626"/>
    <w:rsid w:val="006A0937"/>
    <w:rsid w:val="006B46C5"/>
    <w:rsid w:val="00704375"/>
    <w:rsid w:val="007714E5"/>
    <w:rsid w:val="00774809"/>
    <w:rsid w:val="00843E04"/>
    <w:rsid w:val="00874FA5"/>
    <w:rsid w:val="008C77EA"/>
    <w:rsid w:val="008F2C7D"/>
    <w:rsid w:val="00943FB3"/>
    <w:rsid w:val="009A7403"/>
    <w:rsid w:val="00A20EFF"/>
    <w:rsid w:val="00A820F4"/>
    <w:rsid w:val="00A85D19"/>
    <w:rsid w:val="00A96A06"/>
    <w:rsid w:val="00B65839"/>
    <w:rsid w:val="00BA357A"/>
    <w:rsid w:val="00C43937"/>
    <w:rsid w:val="00C55AED"/>
    <w:rsid w:val="00C7019C"/>
    <w:rsid w:val="00C96222"/>
    <w:rsid w:val="00C972E3"/>
    <w:rsid w:val="00D66752"/>
    <w:rsid w:val="00DB0E63"/>
    <w:rsid w:val="00DC77E9"/>
    <w:rsid w:val="00EE4BE8"/>
    <w:rsid w:val="00F031DA"/>
    <w:rsid w:val="00F81962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0245C8"/>
    <w:rPr>
      <w:b/>
      <w:bCs/>
    </w:rPr>
  </w:style>
  <w:style w:type="paragraph" w:styleId="NormalWeb">
    <w:name w:val="Normal (Web)"/>
    <w:basedOn w:val="Normal"/>
    <w:uiPriority w:val="99"/>
    <w:unhideWhenUsed/>
    <w:rsid w:val="000245C8"/>
    <w:pPr>
      <w:widowControl/>
      <w:autoSpaceDE/>
      <w:autoSpaceDN/>
      <w:adjustRightInd/>
    </w:pPr>
    <w:rPr>
      <w:rFonts w:eastAsia="Calibri"/>
      <w:sz w:val="24"/>
      <w:szCs w:val="24"/>
      <w:lang w:val="en-US" w:eastAsia="en-US"/>
    </w:rPr>
  </w:style>
  <w:style w:type="character" w:customStyle="1" w:styleId="medium-bold">
    <w:name w:val="medium-bold"/>
    <w:basedOn w:val="DefaultParagraphFont"/>
    <w:rsid w:val="000245C8"/>
  </w:style>
  <w:style w:type="character" w:customStyle="1" w:styleId="apple-converted-space">
    <w:name w:val="apple-converted-space"/>
    <w:basedOn w:val="DefaultParagraphFont"/>
    <w:rsid w:val="000245C8"/>
  </w:style>
  <w:style w:type="paragraph" w:styleId="HTMLPreformatted">
    <w:name w:val="HTML Preformatted"/>
    <w:basedOn w:val="Normal"/>
    <w:link w:val="HTMLPreformattedChar"/>
    <w:uiPriority w:val="99"/>
    <w:unhideWhenUsed/>
    <w:rsid w:val="000245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45C8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803412/pdf/medi-101-e32552.pdf" TargetMode="External"/><Relationship Id="rId13" Type="http://schemas.openxmlformats.org/officeDocument/2006/relationships/hyperlink" Target="http://scindeks.ceon.rs/Related.aspx?artaun=116416" TargetMode="External"/><Relationship Id="rId18" Type="http://schemas.openxmlformats.org/officeDocument/2006/relationships/hyperlink" Target="http://kobson.nb.rs/nauka_u_srbiji.132.html?autor=Miladinovic%20Jegor%20A" TargetMode="External"/><Relationship Id="rId26" Type="http://schemas.openxmlformats.org/officeDocument/2006/relationships/image" Target="http://journals.lww.com/WebResource.axd?d=Q0HwqzA4ATSGg4hnENwZsZjCTjvAE6kYLMnBoJDvBUUp4QCLBwd-szwyzlc9Nhl40o161W7gQlXo26tairyQtVypAbom-mo3t0E1BBUGyBw1&amp;t=635792847671809273" TargetMode="External"/><Relationship Id="rId39" Type="http://schemas.openxmlformats.org/officeDocument/2006/relationships/hyperlink" Target="http://www.sciencedirect.com/science/article/pii/S0953620514001915?via%3Dihub" TargetMode="External"/><Relationship Id="rId3" Type="http://schemas.openxmlformats.org/officeDocument/2006/relationships/styles" Target="styles.xml"/><Relationship Id="rId21" Type="http://schemas.openxmlformats.org/officeDocument/2006/relationships/hyperlink" Target="http://kobson.nb.rs/nauka_u_srbiji.132.html?autor=Hogervorst-Cvejic%20Jelena" TargetMode="External"/><Relationship Id="rId34" Type="http://schemas.openxmlformats.org/officeDocument/2006/relationships/hyperlink" Target="http://www.doiserbia.nb.rs/img/doi/0042-8450/2015/0042-84501400062D.pdf" TargetMode="External"/><Relationship Id="rId7" Type="http://schemas.openxmlformats.org/officeDocument/2006/relationships/hyperlink" Target="https://www.europeanreview.org/article/32123" TargetMode="External"/><Relationship Id="rId12" Type="http://schemas.openxmlformats.org/officeDocument/2006/relationships/hyperlink" Target="http://scindeks.ceon.rs/Related.aspx?artaun=213515" TargetMode="External"/><Relationship Id="rId17" Type="http://schemas.openxmlformats.org/officeDocument/2006/relationships/hyperlink" Target="http://kobson.nb.rs/nauka_u_srbiji.132.html?autor=Atanackovic-Krstonosic%20Milica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www.europeanreview.org/wp/wp-content/uploads/1943-1944-Letter-to-the-Editor.pdf" TargetMode="External"/><Relationship Id="rId38" Type="http://schemas.openxmlformats.org/officeDocument/2006/relationships/hyperlink" Target="http://www.europeanreview.org/wp/wp-content/uploads/2241-2242-Letter-to-the-Edito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bson.nb.rs/nauka_u_srbiji.132.html?autor=Bursac%20Mira" TargetMode="External"/><Relationship Id="rId20" Type="http://schemas.openxmlformats.org/officeDocument/2006/relationships/hyperlink" Target="http://kobson.nb.rs/nauka_u_srbiji.132.html?autor=Gvozdenovic%20Ljiljana%20V" TargetMode="External"/><Relationship Id="rId29" Type="http://schemas.openxmlformats.org/officeDocument/2006/relationships/hyperlink" Target="http://ac.els-cdn.com/S0953620515002277/1-s2.0-S0953620515002277-main.pdf?_tid=ad1acb18-558e-11e7-bf45-00000aacb35d&amp;acdnat=1497945873_24a9de25453b11c3c76d4cc47343b88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Gvozdenovic%20Ljiljana%20V&amp;amp;samoar&amp;amp;offset=0&amp;amp;.WUkH-je__cc" TargetMode="External"/><Relationship Id="rId11" Type="http://schemas.openxmlformats.org/officeDocument/2006/relationships/hyperlink" Target="http://scindeks.ceon.rs/Related.aspx?artaun=213514" TargetMode="External"/><Relationship Id="rId24" Type="http://schemas.openxmlformats.org/officeDocument/2006/relationships/hyperlink" Target="http://journals.lww.com/pec-online/Citation/2016/03000/Tracheobronchial_Foreign_Bodies_in_Infants_in.19.aspx" TargetMode="External"/><Relationship Id="rId32" Type="http://schemas.openxmlformats.org/officeDocument/2006/relationships/hyperlink" Target="http://www.signavitae.com/wp-content/uploads/2015/06/SIGNA-VITAE-2015-101-151-153.pdf" TargetMode="External"/><Relationship Id="rId37" Type="http://schemas.openxmlformats.org/officeDocument/2006/relationships/hyperlink" Target="http://www.sciencedirect.com/science/article/pii/S0953620514001071?via%3Dihub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oiserbia.nb.rs/img/doi/0042-8450/2018/0042-84501600332K.pdf" TargetMode="External"/><Relationship Id="rId23" Type="http://schemas.openxmlformats.org/officeDocument/2006/relationships/hyperlink" Target="http://www.sciencedirect.com/science/article/pii/S0953620516300231" TargetMode="External"/><Relationship Id="rId28" Type="http://schemas.openxmlformats.org/officeDocument/2006/relationships/hyperlink" Target="http://journals.lww.com/pec-online/pages/currenttoc.aspx" TargetMode="External"/><Relationship Id="rId36" Type="http://schemas.openxmlformats.org/officeDocument/2006/relationships/hyperlink" Target="https://www.degruyter.com/downloadpdf/j/aiht.2014.65.issue-4/10004-1254-65-2014-2570/10004-1254-65-2014-2570.pdf" TargetMode="External"/><Relationship Id="rId10" Type="http://schemas.openxmlformats.org/officeDocument/2006/relationships/hyperlink" Target="http://scindeks.ceon.rs/Related.aspx?artaun=213513" TargetMode="External"/><Relationship Id="rId19" Type="http://schemas.openxmlformats.org/officeDocument/2006/relationships/hyperlink" Target="http://kobson.nb.rs/nauka_u_srbiji.132.html?autor=Malencic%20Djordje" TargetMode="External"/><Relationship Id="rId31" Type="http://schemas.openxmlformats.org/officeDocument/2006/relationships/hyperlink" Target="http://www.europeanreview.org/wp/wp-content/uploads/3541-3542-Letter-to-the-Edito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ndeks.ceon.rs/Related.aspx?artaun=204157" TargetMode="External"/><Relationship Id="rId14" Type="http://schemas.openxmlformats.org/officeDocument/2006/relationships/hyperlink" Target="http://www.doiserbia.nb.rs/img/doi/0042-8450/2018/0042-84501600333D.pdf" TargetMode="External"/><Relationship Id="rId22" Type="http://schemas.openxmlformats.org/officeDocument/2006/relationships/hyperlink" Target="https://www.researchgate.net/publication/43226097_Isoflavone_Composition_Total_Polyphenolic_Content_and_Antioxidant_Activity_in_Soybeans_of_Different_Origin" TargetMode="External"/><Relationship Id="rId27" Type="http://schemas.openxmlformats.org/officeDocument/2006/relationships/hyperlink" Target="http://journals.lww.com/pec-online/Citation/2016/03000/Tracheobronchial_Foreign_Bodies_in_Infants_in.19.aspx" TargetMode="External"/><Relationship Id="rId30" Type="http://schemas.openxmlformats.org/officeDocument/2006/relationships/hyperlink" Target="http://www.doiserbia.nb.rs/img/doi/0370-8179/2015/0370-81791510619M.pdf" TargetMode="External"/><Relationship Id="rId35" Type="http://schemas.openxmlformats.org/officeDocument/2006/relationships/hyperlink" Target="http://www.annaliitalianidichirurgia.it/PDF/2014/20_lettera_23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924CA-0BF3-4F55-9A71-025D39EB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19</cp:revision>
  <cp:lastPrinted>2023-02-07T12:10:00Z</cp:lastPrinted>
  <dcterms:created xsi:type="dcterms:W3CDTF">2019-12-08T19:53:00Z</dcterms:created>
  <dcterms:modified xsi:type="dcterms:W3CDTF">2024-07-31T07:10:00Z</dcterms:modified>
</cp:coreProperties>
</file>