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B33A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564"/>
        <w:gridCol w:w="941"/>
        <w:gridCol w:w="1410"/>
        <w:gridCol w:w="719"/>
        <w:gridCol w:w="296"/>
        <w:gridCol w:w="252"/>
        <w:gridCol w:w="1042"/>
        <w:gridCol w:w="257"/>
        <w:gridCol w:w="464"/>
        <w:gridCol w:w="872"/>
        <w:gridCol w:w="727"/>
        <w:gridCol w:w="727"/>
      </w:tblGrid>
      <w:tr w:rsidR="00494424" w:rsidRPr="00A22864" w14:paraId="1E17E1EA" w14:textId="77777777" w:rsidTr="00151109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13F67511" w14:textId="77777777" w:rsidR="00494424" w:rsidRPr="00A22864" w:rsidRDefault="00494424" w:rsidP="00EE1DD2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11" w:type="pct"/>
            <w:gridSpan w:val="10"/>
            <w:vAlign w:val="center"/>
          </w:tcPr>
          <w:p w14:paraId="70F5BB1B" w14:textId="77777777" w:rsidR="00494424" w:rsidRPr="00A22864" w:rsidRDefault="00D46E7C" w:rsidP="00EE1DD2">
            <w:pPr>
              <w:spacing w:after="60"/>
              <w:rPr>
                <w:lang w:val="sr-Cyrl-CS"/>
              </w:rPr>
            </w:pPr>
            <w:hyperlink r:id="rId4" w:history="1">
              <w:r w:rsidRPr="00EE1DD2">
                <w:rPr>
                  <w:rStyle w:val="Hyperlink"/>
                  <w:lang w:val="sr-Cyrl-CS"/>
                </w:rPr>
                <w:t>Стојан Ивић</w:t>
              </w:r>
            </w:hyperlink>
          </w:p>
        </w:tc>
      </w:tr>
      <w:tr w:rsidR="00494424" w:rsidRPr="00A22864" w14:paraId="5F5B86BB" w14:textId="77777777" w:rsidTr="00151109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15427F17" w14:textId="77777777" w:rsidR="00494424" w:rsidRPr="00A22864" w:rsidRDefault="00494424" w:rsidP="00EE1DD2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11" w:type="pct"/>
            <w:gridSpan w:val="10"/>
            <w:vAlign w:val="center"/>
          </w:tcPr>
          <w:p w14:paraId="331247DC" w14:textId="77777777" w:rsidR="00494424" w:rsidRPr="00A22864" w:rsidRDefault="00135F36" w:rsidP="00EE1DD2">
            <w:pPr>
              <w:spacing w:after="60"/>
              <w:rPr>
                <w:lang w:val="sr-Cyrl-CS"/>
              </w:rPr>
            </w:pPr>
            <w:r w:rsidRPr="00135F36">
              <w:rPr>
                <w:lang w:val="sr-Cyrl-CS"/>
              </w:rPr>
              <w:t>Ванредни професор</w:t>
            </w:r>
          </w:p>
        </w:tc>
      </w:tr>
      <w:tr w:rsidR="00494424" w:rsidRPr="00A22864" w14:paraId="548487CB" w14:textId="77777777" w:rsidTr="00151109">
        <w:trPr>
          <w:trHeight w:val="227"/>
          <w:jc w:val="center"/>
        </w:trPr>
        <w:tc>
          <w:tcPr>
            <w:tcW w:w="1589" w:type="pct"/>
            <w:gridSpan w:val="3"/>
            <w:vAlign w:val="center"/>
          </w:tcPr>
          <w:p w14:paraId="554C9C88" w14:textId="77777777" w:rsidR="00494424" w:rsidRPr="00A22864" w:rsidRDefault="00494424" w:rsidP="00EE1DD2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>, уметничка о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11" w:type="pct"/>
            <w:gridSpan w:val="10"/>
            <w:vAlign w:val="center"/>
          </w:tcPr>
          <w:p w14:paraId="771DFD1F" w14:textId="77777777" w:rsidR="00494424" w:rsidRPr="00A22864" w:rsidRDefault="00D46E7C" w:rsidP="00EE1DD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Стоматологија</w:t>
            </w:r>
          </w:p>
        </w:tc>
      </w:tr>
      <w:tr w:rsidR="00975A90" w:rsidRPr="00A22864" w14:paraId="3ED67D05" w14:textId="77777777" w:rsidTr="00EE1DD2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14:paraId="7B5A688F" w14:textId="77777777" w:rsidR="00494424" w:rsidRPr="00A22864" w:rsidRDefault="00494424" w:rsidP="00EE1DD2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8" w:type="pct"/>
            <w:vAlign w:val="center"/>
          </w:tcPr>
          <w:p w14:paraId="566A32C7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81" w:type="pct"/>
            <w:gridSpan w:val="2"/>
            <w:vAlign w:val="center"/>
          </w:tcPr>
          <w:p w14:paraId="432AEDCF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30" w:type="pct"/>
            <w:gridSpan w:val="8"/>
            <w:vAlign w:val="center"/>
          </w:tcPr>
          <w:p w14:paraId="60F1FF28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3EE1AFE5" w14:textId="77777777" w:rsidTr="00EE1DD2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14:paraId="4586FA57" w14:textId="77777777" w:rsidR="00494424" w:rsidRPr="00A22864" w:rsidRDefault="00494424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8" w:type="pct"/>
            <w:vAlign w:val="center"/>
          </w:tcPr>
          <w:p w14:paraId="663EA70E" w14:textId="77777777" w:rsidR="00494424" w:rsidRPr="00A22864" w:rsidRDefault="00D46E7C" w:rsidP="00EE1DD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2020</w:t>
            </w:r>
          </w:p>
        </w:tc>
        <w:tc>
          <w:tcPr>
            <w:tcW w:w="1081" w:type="pct"/>
            <w:gridSpan w:val="2"/>
            <w:vAlign w:val="center"/>
          </w:tcPr>
          <w:p w14:paraId="0C9BC0EC" w14:textId="77777777" w:rsidR="00494424" w:rsidRPr="00A22864" w:rsidRDefault="00D46E7C" w:rsidP="00EE1DD2">
            <w:pPr>
              <w:spacing w:after="60"/>
              <w:rPr>
                <w:lang w:val="sr-Cyrl-CS"/>
              </w:rPr>
            </w:pPr>
            <w:r w:rsidRPr="00A51543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30" w:type="pct"/>
            <w:gridSpan w:val="8"/>
            <w:vAlign w:val="center"/>
          </w:tcPr>
          <w:p w14:paraId="4E44C260" w14:textId="77777777" w:rsidR="00494424" w:rsidRPr="00A22864" w:rsidRDefault="00D46E7C" w:rsidP="00EE1DD2">
            <w:pPr>
              <w:spacing w:after="60"/>
              <w:rPr>
                <w:lang w:val="sr-Cyrl-CS"/>
              </w:rPr>
            </w:pPr>
            <w:r w:rsidRPr="007C330B">
              <w:t>Медицинске науке</w:t>
            </w:r>
            <w:r>
              <w:t xml:space="preserve"> </w:t>
            </w:r>
            <w:r w:rsidRPr="007C330B">
              <w:t>(Стоматологија)</w:t>
            </w:r>
          </w:p>
        </w:tc>
      </w:tr>
      <w:tr w:rsidR="00D46E7C" w:rsidRPr="00A22864" w14:paraId="1E158BB8" w14:textId="77777777" w:rsidTr="00EE1DD2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14:paraId="7325C7EB" w14:textId="77777777" w:rsidR="00D46E7C" w:rsidRPr="00A22864" w:rsidRDefault="00D46E7C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8" w:type="pct"/>
            <w:vAlign w:val="center"/>
          </w:tcPr>
          <w:p w14:paraId="0B737983" w14:textId="77777777" w:rsidR="00D46E7C" w:rsidRPr="00A22864" w:rsidRDefault="00D46E7C" w:rsidP="00EE1DD2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2014</w:t>
            </w:r>
          </w:p>
        </w:tc>
        <w:tc>
          <w:tcPr>
            <w:tcW w:w="1081" w:type="pct"/>
            <w:gridSpan w:val="2"/>
            <w:vAlign w:val="center"/>
          </w:tcPr>
          <w:p w14:paraId="680942DF" w14:textId="77777777" w:rsidR="00D46E7C" w:rsidRPr="00A22864" w:rsidRDefault="00D46E7C" w:rsidP="00EE1DD2">
            <w:pPr>
              <w:spacing w:after="60"/>
              <w:rPr>
                <w:lang w:val="sr-Cyrl-CS"/>
              </w:rPr>
            </w:pPr>
            <w:r w:rsidRPr="00A51543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30" w:type="pct"/>
            <w:gridSpan w:val="8"/>
            <w:vAlign w:val="center"/>
          </w:tcPr>
          <w:p w14:paraId="46574C43" w14:textId="77777777" w:rsidR="00D46E7C" w:rsidRPr="00A22864" w:rsidRDefault="00D46E7C" w:rsidP="00EE1DD2">
            <w:pPr>
              <w:spacing w:after="60"/>
              <w:rPr>
                <w:lang w:val="sr-Cyrl-CS"/>
              </w:rPr>
            </w:pPr>
            <w:r w:rsidRPr="007C330B">
              <w:t>Медицинске науке</w:t>
            </w:r>
            <w:r>
              <w:t xml:space="preserve"> </w:t>
            </w:r>
            <w:r w:rsidRPr="007C330B">
              <w:t>(Стоматологија)</w:t>
            </w:r>
          </w:p>
        </w:tc>
      </w:tr>
      <w:tr w:rsidR="00151109" w:rsidRPr="00A22864" w14:paraId="5C2DA72F" w14:textId="77777777" w:rsidTr="00EE1DD2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14:paraId="3B9DE278" w14:textId="77777777" w:rsidR="00151109" w:rsidRPr="00975A90" w:rsidRDefault="00151109" w:rsidP="00EE1DD2">
            <w:pPr>
              <w:spacing w:after="60"/>
            </w:pPr>
            <w:r>
              <w:t>Специјализација</w:t>
            </w:r>
          </w:p>
        </w:tc>
        <w:tc>
          <w:tcPr>
            <w:tcW w:w="478" w:type="pct"/>
            <w:vAlign w:val="center"/>
          </w:tcPr>
          <w:p w14:paraId="3305DA27" w14:textId="77777777" w:rsidR="00151109" w:rsidRPr="00151109" w:rsidRDefault="00151109" w:rsidP="00EE1DD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081" w:type="pct"/>
            <w:gridSpan w:val="2"/>
            <w:vAlign w:val="center"/>
          </w:tcPr>
          <w:p w14:paraId="028EEBBB" w14:textId="77777777" w:rsidR="00151109" w:rsidRPr="00A22864" w:rsidRDefault="00151109" w:rsidP="00151109">
            <w:pPr>
              <w:spacing w:after="60"/>
              <w:rPr>
                <w:lang w:val="sr-Cyrl-CS"/>
              </w:rPr>
            </w:pPr>
            <w:r w:rsidRPr="00A51543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30" w:type="pct"/>
            <w:gridSpan w:val="8"/>
            <w:vAlign w:val="center"/>
          </w:tcPr>
          <w:p w14:paraId="3FF60514" w14:textId="77777777" w:rsidR="00151109" w:rsidRPr="00A22864" w:rsidRDefault="00151109" w:rsidP="00151109">
            <w:pPr>
              <w:spacing w:after="60"/>
              <w:rPr>
                <w:lang w:val="sr-Cyrl-CS"/>
              </w:rPr>
            </w:pPr>
            <w:r w:rsidRPr="007C330B">
              <w:t>Медицинске науке</w:t>
            </w:r>
            <w:r>
              <w:t xml:space="preserve"> </w:t>
            </w:r>
            <w:r w:rsidRPr="007C330B">
              <w:t>(Стоматологија)</w:t>
            </w:r>
          </w:p>
        </w:tc>
      </w:tr>
      <w:tr w:rsidR="00151109" w:rsidRPr="00A22864" w14:paraId="213658EF" w14:textId="77777777" w:rsidTr="00EE1DD2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14:paraId="5E739B87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8" w:type="pct"/>
            <w:vAlign w:val="center"/>
          </w:tcPr>
          <w:p w14:paraId="142261A3" w14:textId="77777777" w:rsidR="00151109" w:rsidRPr="00151109" w:rsidRDefault="00151109" w:rsidP="00EE1DD2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1081" w:type="pct"/>
            <w:gridSpan w:val="2"/>
            <w:vAlign w:val="center"/>
          </w:tcPr>
          <w:p w14:paraId="06086AA8" w14:textId="77777777" w:rsidR="00151109" w:rsidRPr="00A22864" w:rsidRDefault="00151109" w:rsidP="00151109">
            <w:pPr>
              <w:spacing w:after="60"/>
              <w:rPr>
                <w:lang w:val="sr-Cyrl-CS"/>
              </w:rPr>
            </w:pPr>
            <w:r w:rsidRPr="00A51543"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30" w:type="pct"/>
            <w:gridSpan w:val="8"/>
            <w:vAlign w:val="center"/>
          </w:tcPr>
          <w:p w14:paraId="0BF06A9A" w14:textId="77777777" w:rsidR="00151109" w:rsidRPr="00A22864" w:rsidRDefault="00151109" w:rsidP="00151109">
            <w:pPr>
              <w:spacing w:after="60"/>
              <w:rPr>
                <w:lang w:val="sr-Cyrl-CS"/>
              </w:rPr>
            </w:pPr>
            <w:r w:rsidRPr="007C330B">
              <w:t>Медицинске науке</w:t>
            </w:r>
            <w:r>
              <w:t xml:space="preserve"> </w:t>
            </w:r>
            <w:r w:rsidRPr="007C330B">
              <w:t>(Стоматологија)</w:t>
            </w:r>
          </w:p>
        </w:tc>
      </w:tr>
      <w:tr w:rsidR="00151109" w:rsidRPr="00A22864" w14:paraId="0C2C8E0B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3CFE8B23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151109" w:rsidRPr="00A22864" w14:paraId="5B124B63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2451E4AF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86" w:type="pct"/>
            <w:gridSpan w:val="3"/>
            <w:vAlign w:val="center"/>
          </w:tcPr>
          <w:p w14:paraId="74BED940" w14:textId="77777777" w:rsidR="00151109" w:rsidRPr="000D32C3" w:rsidRDefault="00151109" w:rsidP="00EE1DD2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48" w:type="pct"/>
            <w:gridSpan w:val="3"/>
            <w:vAlign w:val="center"/>
          </w:tcPr>
          <w:p w14:paraId="58A1579F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41" w:type="pct"/>
            <w:gridSpan w:val="2"/>
            <w:vAlign w:val="center"/>
          </w:tcPr>
          <w:p w14:paraId="40AB53D7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07" w:type="pct"/>
            <w:gridSpan w:val="4"/>
            <w:vAlign w:val="center"/>
          </w:tcPr>
          <w:p w14:paraId="07BC3A39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151109" w:rsidRPr="00A22864" w14:paraId="48FE02F3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67E2F505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3"/>
            <w:vAlign w:val="center"/>
          </w:tcPr>
          <w:p w14:paraId="08DEBBC7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63D6778A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35B4D674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14:paraId="7593FA80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</w:tr>
      <w:tr w:rsidR="00151109" w:rsidRPr="00A22864" w14:paraId="2F8C215D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53C40742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3"/>
            <w:vAlign w:val="center"/>
          </w:tcPr>
          <w:p w14:paraId="225746CB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0943AF18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04A0DAED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14:paraId="29FB7A36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</w:tr>
      <w:tr w:rsidR="00151109" w:rsidRPr="00A22864" w14:paraId="4D3C2865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2DE8CC05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3"/>
            <w:vAlign w:val="center"/>
          </w:tcPr>
          <w:p w14:paraId="56E7B07C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14:paraId="116A68A1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3A3CAB53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14:paraId="448569E4" w14:textId="77777777" w:rsidR="00151109" w:rsidRPr="00A22864" w:rsidRDefault="00151109" w:rsidP="00EE1DD2">
            <w:pPr>
              <w:spacing w:after="60"/>
              <w:rPr>
                <w:lang w:val="sr-Cyrl-CS"/>
              </w:rPr>
            </w:pPr>
          </w:p>
        </w:tc>
      </w:tr>
      <w:tr w:rsidR="00151109" w:rsidRPr="00A22864" w14:paraId="7FBC7AFE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7E678FF" w14:textId="77777777" w:rsidR="00151109" w:rsidRPr="00A22864" w:rsidRDefault="00151109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151109" w:rsidRPr="00A22864" w14:paraId="0567D31C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CC7507D" w14:textId="77777777" w:rsidR="00151109" w:rsidRPr="00FA083F" w:rsidRDefault="00151109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151109" w:rsidRPr="00A22864" w14:paraId="50162D13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7B1A8AD9" w14:textId="77777777" w:rsidR="00151109" w:rsidRPr="00975A90" w:rsidRDefault="00151109" w:rsidP="00EE1DD2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12" w:type="pct"/>
            <w:gridSpan w:val="9"/>
          </w:tcPr>
          <w:p w14:paraId="444D9115" w14:textId="77777777" w:rsidR="00151109" w:rsidRPr="00975A90" w:rsidRDefault="00151109" w:rsidP="00EE1DD2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430" w:type="pct"/>
          </w:tcPr>
          <w:p w14:paraId="6EC39BFB" w14:textId="77777777" w:rsidR="00151109" w:rsidRPr="00975A90" w:rsidRDefault="00151109" w:rsidP="00EE1DD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70" w:type="pct"/>
          </w:tcPr>
          <w:p w14:paraId="6143E5B7" w14:textId="77777777" w:rsidR="00151109" w:rsidRPr="00975A90" w:rsidRDefault="00151109" w:rsidP="00EE1DD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0" w:type="pct"/>
          </w:tcPr>
          <w:p w14:paraId="04D08F4D" w14:textId="77777777" w:rsidR="00151109" w:rsidRPr="00975A90" w:rsidRDefault="00151109" w:rsidP="00EE1DD2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7A3A4B" w:rsidRPr="00A22864" w14:paraId="327A2C45" w14:textId="77777777" w:rsidTr="00C13A18">
        <w:trPr>
          <w:trHeight w:val="227"/>
          <w:jc w:val="center"/>
        </w:trPr>
        <w:tc>
          <w:tcPr>
            <w:tcW w:w="318" w:type="pct"/>
            <w:vAlign w:val="center"/>
          </w:tcPr>
          <w:p w14:paraId="7DCC2344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 w:rsidRPr="005C1AFD">
              <w:t>1.</w:t>
            </w:r>
          </w:p>
        </w:tc>
        <w:tc>
          <w:tcPr>
            <w:tcW w:w="3512" w:type="pct"/>
            <w:gridSpan w:val="9"/>
          </w:tcPr>
          <w:p w14:paraId="1B71E117" w14:textId="77777777" w:rsidR="007A3A4B" w:rsidRPr="00D46E7C" w:rsidRDefault="007A3A4B" w:rsidP="004237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color w:val="000000"/>
                <w:lang w:val="en-US" w:eastAsia="en-US"/>
              </w:rPr>
            </w:pPr>
            <w:r w:rsidRPr="00BC3690">
              <w:t xml:space="preserve">Vujkov S, </w:t>
            </w:r>
            <w:r w:rsidRPr="007A3A4B">
              <w:rPr>
                <w:b/>
                <w:bCs/>
              </w:rPr>
              <w:t>Ivi</w:t>
            </w:r>
            <w:r w:rsidR="00423789">
              <w:rPr>
                <w:b/>
                <w:bCs/>
              </w:rPr>
              <w:t>ć</w:t>
            </w:r>
            <w:r w:rsidRPr="007A3A4B">
              <w:rPr>
                <w:b/>
                <w:bCs/>
              </w:rPr>
              <w:t xml:space="preserve"> S,</w:t>
            </w:r>
            <w:r w:rsidRPr="00BC3690">
              <w:t xml:space="preserve"> Petrovi</w:t>
            </w:r>
            <w:r w:rsidR="00423789">
              <w:t>ć</w:t>
            </w:r>
            <w:r w:rsidRPr="00BC3690">
              <w:t xml:space="preserve"> B, Blagojevi</w:t>
            </w:r>
            <w:r w:rsidR="00423789">
              <w:t>ć</w:t>
            </w:r>
            <w:r w:rsidRPr="00BC3690">
              <w:t xml:space="preserve"> D, Ne</w:t>
            </w:r>
            <w:r w:rsidR="00423789">
              <w:t>š</w:t>
            </w:r>
            <w:r w:rsidRPr="00BC3690">
              <w:t>kovi</w:t>
            </w:r>
            <w:r w:rsidR="00423789">
              <w:t>ć</w:t>
            </w:r>
            <w:r w:rsidRPr="00BC3690">
              <w:t xml:space="preserve"> I, Tadi</w:t>
            </w:r>
            <w:r w:rsidR="00423789">
              <w:t>ć</w:t>
            </w:r>
            <w:r w:rsidRPr="00BC3690">
              <w:t xml:space="preserve"> A, </w:t>
            </w:r>
            <w:r w:rsidR="00423789">
              <w:t>et al</w:t>
            </w:r>
            <w:r w:rsidRPr="00BC3690">
              <w:t>. Long-Term Outcomes of Maxillary Alveolar Process Trauma and Primary Incisor Injury in Early Childhood: A Case Report. J Clin Med. 2025 May 8;14(10):3275.</w:t>
            </w:r>
          </w:p>
        </w:tc>
        <w:tc>
          <w:tcPr>
            <w:tcW w:w="430" w:type="pct"/>
            <w:vAlign w:val="center"/>
          </w:tcPr>
          <w:p w14:paraId="7AD4ECB8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58A45FB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  <w:vAlign w:val="center"/>
          </w:tcPr>
          <w:p w14:paraId="34AB80D5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7A3A4B" w:rsidRPr="00A22864" w14:paraId="6D41EBCD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14011216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>
              <w:t>2</w:t>
            </w:r>
            <w:r w:rsidRPr="00EE1DD2">
              <w:t>.</w:t>
            </w:r>
          </w:p>
        </w:tc>
        <w:tc>
          <w:tcPr>
            <w:tcW w:w="3512" w:type="pct"/>
            <w:gridSpan w:val="9"/>
          </w:tcPr>
          <w:p w14:paraId="081F8041" w14:textId="77777777" w:rsidR="007A3A4B" w:rsidRPr="00EE1DD2" w:rsidRDefault="007A3A4B" w:rsidP="004237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</w:pPr>
            <w:r w:rsidRPr="00D46E7C">
              <w:rPr>
                <w:rFonts w:eastAsia="Times New Roman"/>
                <w:b/>
                <w:color w:val="000000"/>
                <w:lang w:val="en-US" w:eastAsia="en-US"/>
              </w:rPr>
              <w:t>Ivić S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Vučinić P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,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 xml:space="preserve"> Petrović Đ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,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 xml:space="preserve"> Puškar N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,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 xml:space="preserve"> Radumilo D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,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 xml:space="preserve"> Tadić A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, </w:t>
            </w:r>
            <w:r w:rsidR="00423789">
              <w:rPr>
                <w:rFonts w:eastAsia="Times New Roman"/>
                <w:color w:val="000000"/>
                <w:lang w:val="en-US" w:eastAsia="en-US"/>
              </w:rPr>
              <w:t>et al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hyperlink r:id="rId5" w:history="1">
              <w:r w:rsidRPr="00EE1DD2">
                <w:rPr>
                  <w:rStyle w:val="Hyperlink"/>
                  <w:rFonts w:eastAsia="Times New Roman"/>
                  <w:lang w:val="en-US" w:eastAsia="en-US"/>
                </w:rPr>
                <w:t>Upper airway sagittal dimensions in children with hyper-divergent class II/1 malocclusion</w:t>
              </w:r>
            </w:hyperlink>
            <w:r w:rsidRPr="00EE1DD2">
              <w:rPr>
                <w:rFonts w:eastAsia="Times New Roman"/>
                <w:color w:val="000000"/>
                <w:lang w:val="en-US" w:eastAsia="en-US"/>
              </w:rPr>
              <w:t>.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 xml:space="preserve"> Srp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 A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rh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 C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elok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 L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ek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 xml:space="preserve">. 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2024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;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152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(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7-8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):</w:t>
            </w:r>
            <w:r w:rsidRPr="00D46E7C">
              <w:rPr>
                <w:rFonts w:eastAsia="Times New Roman"/>
                <w:color w:val="000000"/>
                <w:lang w:val="en-US" w:eastAsia="en-US"/>
              </w:rPr>
              <w:t>344-50</w:t>
            </w:r>
            <w:r w:rsidRPr="00EE1DD2">
              <w:rPr>
                <w:rFonts w:eastAsia="Times New Roman"/>
                <w:color w:val="000000"/>
                <w:lang w:val="en-US" w:eastAsia="en-US"/>
              </w:rPr>
              <w:t>.</w:t>
            </w:r>
          </w:p>
        </w:tc>
        <w:tc>
          <w:tcPr>
            <w:tcW w:w="430" w:type="pct"/>
          </w:tcPr>
          <w:p w14:paraId="3B88022C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6BC8338A" w14:textId="77777777" w:rsidR="007A3A4B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7A6E2200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0" w:type="pct"/>
          </w:tcPr>
          <w:p w14:paraId="6E1B575A" w14:textId="77777777" w:rsidR="007A3A4B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29F3138E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7A3A4B" w:rsidRPr="00A22864" w14:paraId="21F42235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150000AD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>
              <w:t>3</w:t>
            </w:r>
            <w:r w:rsidRPr="00EE1DD2">
              <w:t>.</w:t>
            </w:r>
          </w:p>
        </w:tc>
        <w:tc>
          <w:tcPr>
            <w:tcW w:w="3512" w:type="pct"/>
            <w:gridSpan w:val="9"/>
          </w:tcPr>
          <w:p w14:paraId="3C26A139" w14:textId="77777777" w:rsidR="007A3A4B" w:rsidRPr="00EE1DD2" w:rsidRDefault="007A3A4B" w:rsidP="00423789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Veljovi</w:t>
            </w:r>
            <w:r>
              <w:rPr>
                <w:sz w:val="20"/>
                <w:szCs w:val="20"/>
              </w:rPr>
              <w:t>ć</w:t>
            </w:r>
            <w:r w:rsidRPr="00EE1DD2">
              <w:rPr>
                <w:sz w:val="20"/>
                <w:szCs w:val="20"/>
              </w:rPr>
              <w:t xml:space="preserve"> T, </w:t>
            </w:r>
            <w:r>
              <w:rPr>
                <w:sz w:val="20"/>
                <w:szCs w:val="20"/>
              </w:rPr>
              <w:t>Đ</w:t>
            </w:r>
            <w:r w:rsidRPr="00EE1DD2">
              <w:rPr>
                <w:sz w:val="20"/>
                <w:szCs w:val="20"/>
              </w:rPr>
              <w:t>uri</w:t>
            </w:r>
            <w:r>
              <w:rPr>
                <w:sz w:val="20"/>
                <w:szCs w:val="20"/>
              </w:rPr>
              <w:t>ć</w:t>
            </w:r>
            <w:r w:rsidRPr="00EE1DD2">
              <w:rPr>
                <w:sz w:val="20"/>
                <w:szCs w:val="20"/>
              </w:rPr>
              <w:t xml:space="preserve"> M, Mirni</w:t>
            </w:r>
            <w:r>
              <w:rPr>
                <w:sz w:val="20"/>
                <w:szCs w:val="20"/>
              </w:rPr>
              <w:t>ć</w:t>
            </w:r>
            <w:r w:rsidRPr="00EE1DD2">
              <w:rPr>
                <w:sz w:val="20"/>
                <w:szCs w:val="20"/>
              </w:rPr>
              <w:t xml:space="preserve"> J, Gu</w:t>
            </w:r>
            <w:r>
              <w:rPr>
                <w:sz w:val="20"/>
                <w:szCs w:val="20"/>
              </w:rPr>
              <w:t>š</w:t>
            </w:r>
            <w:r w:rsidRPr="00EE1DD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ć</w:t>
            </w:r>
            <w:r w:rsidRPr="00EE1DD2">
              <w:rPr>
                <w:sz w:val="20"/>
                <w:szCs w:val="20"/>
              </w:rPr>
              <w:t xml:space="preserve"> I, Maletin A, </w:t>
            </w:r>
            <w:r w:rsidRPr="00EE1DD2">
              <w:rPr>
                <w:b/>
                <w:sz w:val="20"/>
                <w:szCs w:val="20"/>
              </w:rPr>
              <w:t>Ivi</w:t>
            </w:r>
            <w:r>
              <w:rPr>
                <w:b/>
                <w:sz w:val="20"/>
                <w:szCs w:val="20"/>
              </w:rPr>
              <w:t>ć</w:t>
            </w:r>
            <w:r w:rsidRPr="00EE1DD2">
              <w:rPr>
                <w:b/>
                <w:sz w:val="20"/>
                <w:szCs w:val="20"/>
              </w:rPr>
              <w:t xml:space="preserve"> S</w:t>
            </w:r>
            <w:r w:rsidRPr="00EE1DD2">
              <w:rPr>
                <w:sz w:val="20"/>
                <w:szCs w:val="20"/>
              </w:rPr>
              <w:t xml:space="preserve">, </w:t>
            </w:r>
            <w:r w:rsidR="00423789">
              <w:rPr>
                <w:sz w:val="20"/>
                <w:szCs w:val="20"/>
              </w:rPr>
              <w:t>et al</w:t>
            </w:r>
            <w:r w:rsidRPr="00EE1DD2">
              <w:rPr>
                <w:sz w:val="20"/>
                <w:szCs w:val="20"/>
              </w:rPr>
              <w:t xml:space="preserve">. </w:t>
            </w:r>
            <w:hyperlink r:id="rId6" w:history="1">
              <w:r w:rsidRPr="00EE1DD2">
                <w:rPr>
                  <w:rStyle w:val="Hyperlink"/>
                  <w:sz w:val="20"/>
                  <w:szCs w:val="20"/>
                </w:rPr>
                <w:t>Effect of Nonsurgical Periodontal Treatment on Salivary and Plasma Superoxide Dismutase Levels of Patients Suffering from Periodontitis</w:t>
              </w:r>
            </w:hyperlink>
            <w:r w:rsidRPr="00EE1DD2">
              <w:rPr>
                <w:sz w:val="20"/>
                <w:szCs w:val="20"/>
              </w:rPr>
              <w:t>. J Clin Med. 2023 Oct 23;12(20):6688.</w:t>
            </w:r>
          </w:p>
        </w:tc>
        <w:tc>
          <w:tcPr>
            <w:tcW w:w="430" w:type="pct"/>
          </w:tcPr>
          <w:p w14:paraId="3103E046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14:paraId="7CBFABBA" w14:textId="77777777" w:rsidR="007A3A4B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602BF7A7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14:paraId="11C8AFE4" w14:textId="77777777" w:rsidR="007A3A4B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14:paraId="5B1078B8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A3A4B">
              <w:rPr>
                <w:sz w:val="20"/>
                <w:szCs w:val="20"/>
              </w:rPr>
              <w:t>5.098</w:t>
            </w:r>
          </w:p>
        </w:tc>
      </w:tr>
      <w:tr w:rsidR="007A3A4B" w:rsidRPr="00A22864" w14:paraId="11506A32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2DD10C4B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>
              <w:t>4</w:t>
            </w:r>
            <w:r w:rsidRPr="00EE1DD2">
              <w:t>.</w:t>
            </w:r>
          </w:p>
        </w:tc>
        <w:tc>
          <w:tcPr>
            <w:tcW w:w="3512" w:type="pct"/>
            <w:gridSpan w:val="9"/>
          </w:tcPr>
          <w:p w14:paraId="47D16633" w14:textId="77777777" w:rsidR="007A3A4B" w:rsidRPr="00724D39" w:rsidRDefault="007A3A4B" w:rsidP="007A3A4B">
            <w:pPr>
              <w:pStyle w:val="HTMLPreformatted"/>
              <w:jc w:val="both"/>
              <w:rPr>
                <w:rFonts w:cs="Courier New"/>
                <w:lang w:val="en-US" w:eastAsia="en-US"/>
              </w:rPr>
            </w:pP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Selaković J, Mirković S, Drobac M, Petrović Đ, Vučinić P, </w:t>
            </w:r>
            <w:r w:rsidRPr="00724D39">
              <w:rPr>
                <w:rFonts w:ascii="Times New Roman" w:hAnsi="Times New Roman"/>
                <w:b/>
                <w:color w:val="000000"/>
                <w:lang w:val="en-US" w:eastAsia="en-US"/>
              </w:rPr>
              <w:t>Ivić S</w:t>
            </w: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. </w:t>
            </w:r>
            <w:hyperlink r:id="rId7" w:history="1">
              <w:r w:rsidRPr="00724D39">
                <w:rPr>
                  <w:rStyle w:val="Hyperlink"/>
                  <w:rFonts w:ascii="Times New Roman" w:hAnsi="Times New Roman"/>
                  <w:lang w:val="en-US" w:eastAsia="en-US"/>
                </w:rPr>
                <w:t>Challenges, standards and prospects in the therapy of orthodontic traction of impacted maxillary canine: A surgical phase</w:t>
              </w:r>
            </w:hyperlink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>. Vojnosanit Pregl. 2022;79(4):400-4.</w:t>
            </w:r>
          </w:p>
        </w:tc>
        <w:tc>
          <w:tcPr>
            <w:tcW w:w="430" w:type="pct"/>
          </w:tcPr>
          <w:p w14:paraId="474A7AE8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166/170</w:t>
            </w:r>
          </w:p>
        </w:tc>
        <w:tc>
          <w:tcPr>
            <w:tcW w:w="370" w:type="pct"/>
          </w:tcPr>
          <w:p w14:paraId="0F5A01F5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23</w:t>
            </w:r>
          </w:p>
        </w:tc>
        <w:tc>
          <w:tcPr>
            <w:tcW w:w="370" w:type="pct"/>
          </w:tcPr>
          <w:p w14:paraId="0B09C828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0.2</w:t>
            </w:r>
          </w:p>
        </w:tc>
      </w:tr>
      <w:tr w:rsidR="007A3A4B" w:rsidRPr="00A22864" w14:paraId="5A59AACE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5506B477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>
              <w:t>5</w:t>
            </w:r>
            <w:r w:rsidRPr="00EE1DD2">
              <w:t>.</w:t>
            </w:r>
          </w:p>
        </w:tc>
        <w:tc>
          <w:tcPr>
            <w:tcW w:w="3512" w:type="pct"/>
            <w:gridSpan w:val="9"/>
          </w:tcPr>
          <w:p w14:paraId="7D460AD3" w14:textId="77777777" w:rsidR="007A3A4B" w:rsidRPr="00724D39" w:rsidRDefault="007A3A4B" w:rsidP="007A3A4B">
            <w:pPr>
              <w:pStyle w:val="HTMLPreformatted"/>
              <w:jc w:val="both"/>
              <w:rPr>
                <w:rFonts w:cs="Courier New"/>
                <w:lang w:val="en-US" w:eastAsia="en-US"/>
              </w:rPr>
            </w:pP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Tušek I, Ilić M P, Tušek J, </w:t>
            </w:r>
            <w:r w:rsidRPr="00724D39">
              <w:rPr>
                <w:rFonts w:ascii="Times New Roman" w:hAnsi="Times New Roman"/>
                <w:b/>
                <w:color w:val="000000"/>
                <w:lang w:val="en-US" w:eastAsia="en-US"/>
              </w:rPr>
              <w:t>Ivić S</w:t>
            </w: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, Tušek B. </w:t>
            </w:r>
            <w:hyperlink r:id="rId8" w:history="1">
              <w:r w:rsidRPr="00724D39">
                <w:rPr>
                  <w:rStyle w:val="Hyperlink"/>
                  <w:rFonts w:ascii="Times New Roman" w:hAnsi="Times New Roman"/>
                  <w:lang w:val="en-US" w:eastAsia="en-US"/>
                </w:rPr>
                <w:t>Pediatric mandibular fracture therapy: A case report</w:t>
              </w:r>
            </w:hyperlink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>. Vojnosanit Pregl. 2020;77(6):647-50.</w:t>
            </w:r>
          </w:p>
        </w:tc>
        <w:tc>
          <w:tcPr>
            <w:tcW w:w="430" w:type="pct"/>
          </w:tcPr>
          <w:p w14:paraId="031A3971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165/169</w:t>
            </w:r>
          </w:p>
        </w:tc>
        <w:tc>
          <w:tcPr>
            <w:tcW w:w="370" w:type="pct"/>
          </w:tcPr>
          <w:p w14:paraId="201A5009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23</w:t>
            </w:r>
          </w:p>
        </w:tc>
        <w:tc>
          <w:tcPr>
            <w:tcW w:w="370" w:type="pct"/>
          </w:tcPr>
          <w:p w14:paraId="2C7D34A7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0.168</w:t>
            </w:r>
          </w:p>
        </w:tc>
      </w:tr>
      <w:tr w:rsidR="007A3A4B" w:rsidRPr="00A22864" w14:paraId="2343CDDB" w14:textId="77777777" w:rsidTr="00EE1DD2">
        <w:trPr>
          <w:trHeight w:val="227"/>
          <w:jc w:val="center"/>
        </w:trPr>
        <w:tc>
          <w:tcPr>
            <w:tcW w:w="318" w:type="pct"/>
            <w:vAlign w:val="center"/>
          </w:tcPr>
          <w:p w14:paraId="3CFA8D42" w14:textId="77777777" w:rsidR="007A3A4B" w:rsidRPr="00EE1DD2" w:rsidRDefault="007A3A4B" w:rsidP="007A3A4B">
            <w:pPr>
              <w:spacing w:line="276" w:lineRule="auto"/>
              <w:ind w:left="-23"/>
              <w:jc w:val="center"/>
            </w:pPr>
            <w:r>
              <w:t>6</w:t>
            </w:r>
            <w:r w:rsidRPr="00EE1DD2">
              <w:t>.</w:t>
            </w:r>
          </w:p>
        </w:tc>
        <w:tc>
          <w:tcPr>
            <w:tcW w:w="3512" w:type="pct"/>
            <w:gridSpan w:val="9"/>
          </w:tcPr>
          <w:p w14:paraId="7309F072" w14:textId="77777777" w:rsidR="007A3A4B" w:rsidRPr="00724D39" w:rsidRDefault="007A3A4B" w:rsidP="007A3A4B">
            <w:pPr>
              <w:pStyle w:val="HTMLPreformatted"/>
              <w:rPr>
                <w:rFonts w:cs="Courier New"/>
                <w:lang w:val="en-US" w:eastAsia="en-US"/>
              </w:rPr>
            </w:pP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Vučinić P, Petrović Đ, </w:t>
            </w:r>
            <w:r w:rsidRPr="00724D39">
              <w:rPr>
                <w:rFonts w:ascii="Times New Roman" w:hAnsi="Times New Roman"/>
                <w:b/>
                <w:color w:val="000000"/>
                <w:lang w:val="en-US" w:eastAsia="en-US"/>
              </w:rPr>
              <w:t>Ivić S</w:t>
            </w:r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 xml:space="preserve">, Vujkov S. </w:t>
            </w:r>
            <w:hyperlink r:id="rId9" w:history="1">
              <w:r w:rsidRPr="00724D39">
                <w:rPr>
                  <w:rStyle w:val="Hyperlink"/>
                  <w:rFonts w:ascii="Times New Roman" w:hAnsi="Times New Roman"/>
                  <w:lang w:val="en-US" w:eastAsia="en-US"/>
                </w:rPr>
                <w:t>Comparison between Steiner cephalometric and modified Andrews photometric method for assessing antero-posterior position of the maxillary central incisors</w:t>
              </w:r>
            </w:hyperlink>
            <w:r w:rsidRPr="00724D39">
              <w:rPr>
                <w:rFonts w:ascii="Times New Roman" w:hAnsi="Times New Roman"/>
                <w:color w:val="000000"/>
                <w:lang w:val="en-US" w:eastAsia="en-US"/>
              </w:rPr>
              <w:t>. Srp Arh Celok Lek. 2019;147(11-12):670-5.</w:t>
            </w:r>
          </w:p>
        </w:tc>
        <w:tc>
          <w:tcPr>
            <w:tcW w:w="430" w:type="pct"/>
          </w:tcPr>
          <w:p w14:paraId="5F5A2C97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162/165</w:t>
            </w:r>
          </w:p>
        </w:tc>
        <w:tc>
          <w:tcPr>
            <w:tcW w:w="370" w:type="pct"/>
          </w:tcPr>
          <w:p w14:paraId="216D7B58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23</w:t>
            </w:r>
          </w:p>
        </w:tc>
        <w:tc>
          <w:tcPr>
            <w:tcW w:w="370" w:type="pct"/>
          </w:tcPr>
          <w:p w14:paraId="00219452" w14:textId="77777777" w:rsidR="007A3A4B" w:rsidRPr="00EE1DD2" w:rsidRDefault="007A3A4B" w:rsidP="007A3A4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E1DD2">
              <w:rPr>
                <w:sz w:val="20"/>
                <w:szCs w:val="20"/>
              </w:rPr>
              <w:t>0.142</w:t>
            </w:r>
          </w:p>
        </w:tc>
      </w:tr>
      <w:tr w:rsidR="007A3A4B" w:rsidRPr="00A22864" w14:paraId="6FA80B48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7B3D09A5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7A3A4B" w:rsidRPr="00A22864" w14:paraId="66471428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CC5AB3D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7A3A4B" w:rsidRPr="00A22864" w14:paraId="460BD4AC" w14:textId="77777777" w:rsidTr="00EE1DD2">
        <w:trPr>
          <w:trHeight w:val="227"/>
          <w:jc w:val="center"/>
        </w:trPr>
        <w:tc>
          <w:tcPr>
            <w:tcW w:w="2822" w:type="pct"/>
            <w:gridSpan w:val="6"/>
            <w:vAlign w:val="center"/>
          </w:tcPr>
          <w:p w14:paraId="4FDD29EF" w14:textId="77777777" w:rsidR="007A3A4B" w:rsidRPr="00A22864" w:rsidRDefault="007A3A4B" w:rsidP="007A3A4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78" w:type="pct"/>
            <w:gridSpan w:val="7"/>
            <w:vAlign w:val="center"/>
          </w:tcPr>
          <w:p w14:paraId="729E82C6" w14:textId="77777777" w:rsidR="007A3A4B" w:rsidRPr="007A3A4B" w:rsidRDefault="007A3A4B" w:rsidP="007A3A4B">
            <w:pPr>
              <w:spacing w:after="60"/>
              <w:rPr>
                <w:bCs/>
                <w:lang w:val="en-US"/>
              </w:rPr>
            </w:pPr>
            <w:r w:rsidRPr="007A3A4B">
              <w:rPr>
                <w:bCs/>
                <w:lang w:val="en-US"/>
              </w:rPr>
              <w:t>15</w:t>
            </w:r>
          </w:p>
        </w:tc>
      </w:tr>
      <w:tr w:rsidR="007A3A4B" w:rsidRPr="00A22864" w14:paraId="22511ECE" w14:textId="77777777" w:rsidTr="00EE1DD2">
        <w:trPr>
          <w:trHeight w:val="227"/>
          <w:jc w:val="center"/>
        </w:trPr>
        <w:tc>
          <w:tcPr>
            <w:tcW w:w="2822" w:type="pct"/>
            <w:gridSpan w:val="6"/>
            <w:vAlign w:val="center"/>
          </w:tcPr>
          <w:p w14:paraId="4EEAB64E" w14:textId="77777777" w:rsidR="007A3A4B" w:rsidRPr="00A22864" w:rsidRDefault="007A3A4B" w:rsidP="007A3A4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78" w:type="pct"/>
            <w:gridSpan w:val="7"/>
            <w:vAlign w:val="center"/>
          </w:tcPr>
          <w:p w14:paraId="1D60B6CA" w14:textId="77777777" w:rsidR="007A3A4B" w:rsidRPr="007A3A4B" w:rsidRDefault="007A3A4B" w:rsidP="007A3A4B">
            <w:pPr>
              <w:spacing w:after="60"/>
              <w:rPr>
                <w:bCs/>
                <w:lang w:val="en-US"/>
              </w:rPr>
            </w:pPr>
            <w:r w:rsidRPr="007A3A4B">
              <w:rPr>
                <w:bCs/>
                <w:lang w:val="en-US"/>
              </w:rPr>
              <w:t>8</w:t>
            </w:r>
          </w:p>
        </w:tc>
      </w:tr>
      <w:tr w:rsidR="007A3A4B" w:rsidRPr="00A22864" w14:paraId="6CD3A96B" w14:textId="77777777" w:rsidTr="00EE1DD2">
        <w:trPr>
          <w:trHeight w:val="227"/>
          <w:jc w:val="center"/>
        </w:trPr>
        <w:tc>
          <w:tcPr>
            <w:tcW w:w="2822" w:type="pct"/>
            <w:gridSpan w:val="6"/>
            <w:vAlign w:val="center"/>
          </w:tcPr>
          <w:p w14:paraId="1D1779E3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lastRenderedPageBreak/>
              <w:t>Тренутно учешће на пројектима</w:t>
            </w:r>
          </w:p>
        </w:tc>
        <w:tc>
          <w:tcPr>
            <w:tcW w:w="644" w:type="pct"/>
            <w:gridSpan w:val="2"/>
            <w:vAlign w:val="center"/>
          </w:tcPr>
          <w:p w14:paraId="28ABC405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34" w:type="pct"/>
            <w:gridSpan w:val="5"/>
            <w:vAlign w:val="center"/>
          </w:tcPr>
          <w:p w14:paraId="608BC363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7A3A4B" w:rsidRPr="00A22864" w14:paraId="1B46EB5B" w14:textId="77777777" w:rsidTr="00EE1DD2">
        <w:trPr>
          <w:trHeight w:val="227"/>
          <w:jc w:val="center"/>
        </w:trPr>
        <w:tc>
          <w:tcPr>
            <w:tcW w:w="2822" w:type="pct"/>
            <w:gridSpan w:val="6"/>
            <w:vAlign w:val="center"/>
          </w:tcPr>
          <w:p w14:paraId="0F1762C3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4" w:type="pct"/>
            <w:gridSpan w:val="2"/>
            <w:vAlign w:val="center"/>
          </w:tcPr>
          <w:p w14:paraId="0F34941B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34" w:type="pct"/>
            <w:gridSpan w:val="5"/>
            <w:vAlign w:val="center"/>
          </w:tcPr>
          <w:p w14:paraId="6F228B4D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</w:p>
        </w:tc>
      </w:tr>
      <w:tr w:rsidR="007A3A4B" w:rsidRPr="00A22864" w14:paraId="57744AAB" w14:textId="77777777" w:rsidTr="00EE1DD2">
        <w:trPr>
          <w:trHeight w:val="227"/>
          <w:jc w:val="center"/>
        </w:trPr>
        <w:tc>
          <w:tcPr>
            <w:tcW w:w="2822" w:type="pct"/>
            <w:gridSpan w:val="6"/>
            <w:vAlign w:val="center"/>
          </w:tcPr>
          <w:p w14:paraId="0ABFC892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78" w:type="pct"/>
            <w:gridSpan w:val="7"/>
            <w:vAlign w:val="center"/>
          </w:tcPr>
          <w:p w14:paraId="7A7E3997" w14:textId="77777777" w:rsidR="007A3A4B" w:rsidRPr="00A22864" w:rsidRDefault="007A3A4B" w:rsidP="007A3A4B">
            <w:pPr>
              <w:spacing w:after="60"/>
              <w:rPr>
                <w:b/>
                <w:lang w:val="sr-Cyrl-CS"/>
              </w:rPr>
            </w:pPr>
          </w:p>
        </w:tc>
      </w:tr>
    </w:tbl>
    <w:p w14:paraId="236162DB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36B42"/>
    <w:rsid w:val="000C097E"/>
    <w:rsid w:val="00135F36"/>
    <w:rsid w:val="00151109"/>
    <w:rsid w:val="00423789"/>
    <w:rsid w:val="00494424"/>
    <w:rsid w:val="00505EBB"/>
    <w:rsid w:val="00724D39"/>
    <w:rsid w:val="007A3A4B"/>
    <w:rsid w:val="008D0C55"/>
    <w:rsid w:val="00975A90"/>
    <w:rsid w:val="009A2D09"/>
    <w:rsid w:val="00AB00FC"/>
    <w:rsid w:val="00C13A18"/>
    <w:rsid w:val="00CD44FE"/>
    <w:rsid w:val="00D46E7C"/>
    <w:rsid w:val="00E8414B"/>
    <w:rsid w:val="00EA25FB"/>
    <w:rsid w:val="00EE1DD2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0A10"/>
  <w15:chartTrackingRefBased/>
  <w15:docId w15:val="{551A0F4F-01C9-432A-9538-7C4B0E4A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D46E7C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6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46E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serbia.nb.rs/Article.aspx?ID=0042-84501800110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serbia.nb.rs/Article.aspx?id=0042-8450200011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dpi.com/2077-0383/12/20/66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serbia.nb.rs/Article.aspx?ID=0370-81792400056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obson.nb.rs/nauka_u_srbiji.132.html?autor=Ivic%20Stojan%20M&amp;samoar=" TargetMode="External"/><Relationship Id="rId9" Type="http://schemas.openxmlformats.org/officeDocument/2006/relationships/hyperlink" Target="https://doiserbia.nb.rs/Article.aspx?id=0370-81791900100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Links>
    <vt:vector size="36" baseType="variant">
      <vt:variant>
        <vt:i4>852058</vt:i4>
      </vt:variant>
      <vt:variant>
        <vt:i4>15</vt:i4>
      </vt:variant>
      <vt:variant>
        <vt:i4>0</vt:i4>
      </vt:variant>
      <vt:variant>
        <vt:i4>5</vt:i4>
      </vt:variant>
      <vt:variant>
        <vt:lpwstr>https://doiserbia.nb.rs/Article.aspx?id=0370-81791900100V</vt:lpwstr>
      </vt:variant>
      <vt:variant>
        <vt:lpwstr/>
      </vt:variant>
      <vt:variant>
        <vt:i4>917589</vt:i4>
      </vt:variant>
      <vt:variant>
        <vt:i4>12</vt:i4>
      </vt:variant>
      <vt:variant>
        <vt:i4>0</vt:i4>
      </vt:variant>
      <vt:variant>
        <vt:i4>5</vt:i4>
      </vt:variant>
      <vt:variant>
        <vt:lpwstr>https://doiserbia.nb.rs/Article.aspx?ID=0042-84501800110T</vt:lpwstr>
      </vt:variant>
      <vt:variant>
        <vt:lpwstr/>
      </vt:variant>
      <vt:variant>
        <vt:i4>720989</vt:i4>
      </vt:variant>
      <vt:variant>
        <vt:i4>9</vt:i4>
      </vt:variant>
      <vt:variant>
        <vt:i4>0</vt:i4>
      </vt:variant>
      <vt:variant>
        <vt:i4>5</vt:i4>
      </vt:variant>
      <vt:variant>
        <vt:lpwstr>https://doiserbia.nb.rs/Article.aspx?id=0042-84502000116S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https://www.mdpi.com/2077-0383/12/20/6688</vt:lpwstr>
      </vt:variant>
      <vt:variant>
        <vt:lpwstr/>
      </vt:variant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https://doiserbia.nb.rs/Article.aspx?ID=0370-81792400056I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https://kobson.nb.rs/nauka_u_srbiji.132.html?autor=Ivic%20Stojan%20M&amp;samoar=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Ivana Maksimović</cp:lastModifiedBy>
  <cp:revision>2</cp:revision>
  <dcterms:created xsi:type="dcterms:W3CDTF">2025-11-10T07:33:00Z</dcterms:created>
  <dcterms:modified xsi:type="dcterms:W3CDTF">2025-11-10T07:33:00Z</dcterms:modified>
</cp:coreProperties>
</file>