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</w:t>
      </w:r>
      <w:r w:rsidR="004E3D2B">
        <w:rPr>
          <w:b/>
          <w:iCs/>
          <w:sz w:val="22"/>
          <w:szCs w:val="22"/>
          <w:lang w:val="en-GB"/>
        </w:rPr>
        <w:t>.</w:t>
      </w:r>
      <w:r w:rsidRPr="00DE02EC">
        <w:rPr>
          <w:b/>
          <w:iCs/>
          <w:sz w:val="22"/>
          <w:szCs w:val="22"/>
          <w:lang w:val="sr-Cyrl-CS"/>
        </w:rPr>
        <w:t xml:space="preserve"> 9.</w:t>
      </w:r>
      <w:r>
        <w:rPr>
          <w:b/>
          <w:iCs/>
          <w:sz w:val="22"/>
          <w:szCs w:val="22"/>
        </w:rPr>
        <w:t>8</w:t>
      </w:r>
      <w:r w:rsidR="007910F0">
        <w:rPr>
          <w:b/>
          <w:iCs/>
          <w:sz w:val="22"/>
          <w:szCs w:val="22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1587"/>
        <w:gridCol w:w="959"/>
        <w:gridCol w:w="1451"/>
        <w:gridCol w:w="726"/>
        <w:gridCol w:w="249"/>
        <w:gridCol w:w="292"/>
        <w:gridCol w:w="987"/>
        <w:gridCol w:w="312"/>
        <w:gridCol w:w="452"/>
        <w:gridCol w:w="932"/>
        <w:gridCol w:w="798"/>
        <w:gridCol w:w="766"/>
      </w:tblGrid>
      <w:tr w:rsidR="00494424" w:rsidRPr="00A22864" w:rsidTr="0000426C">
        <w:trPr>
          <w:trHeight w:val="227"/>
          <w:jc w:val="center"/>
        </w:trPr>
        <w:tc>
          <w:tcPr>
            <w:tcW w:w="1563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7" w:type="pct"/>
            <w:gridSpan w:val="10"/>
            <w:vAlign w:val="center"/>
          </w:tcPr>
          <w:p w:rsidR="00494424" w:rsidRPr="00422B33" w:rsidRDefault="00977F90" w:rsidP="007233DA">
            <w:pPr>
              <w:spacing w:after="60"/>
            </w:pPr>
            <w:hyperlink r:id="rId5" w:anchor=".Yfpyjyoo_wk" w:history="1">
              <w:r w:rsidR="009F0653" w:rsidRPr="00FD7D62">
                <w:rPr>
                  <w:rStyle w:val="Hyperlink"/>
                  <w:lang w:val="sr-Cyrl-CS"/>
                </w:rPr>
                <w:t>Гордана Јова</w:t>
              </w:r>
              <w:r w:rsidR="009F0653" w:rsidRPr="00FD7D62">
                <w:rPr>
                  <w:rStyle w:val="Hyperlink"/>
                  <w:lang w:val="sr-Cyrl-CS"/>
                </w:rPr>
                <w:t>н</w:t>
              </w:r>
              <w:r w:rsidR="009F0653" w:rsidRPr="00FD7D62">
                <w:rPr>
                  <w:rStyle w:val="Hyperlink"/>
                  <w:lang w:val="sr-Cyrl-CS"/>
                </w:rPr>
                <w:t>овић</w:t>
              </w:r>
            </w:hyperlink>
          </w:p>
        </w:tc>
      </w:tr>
      <w:tr w:rsidR="00494424" w:rsidRPr="00A22864" w:rsidTr="0000426C">
        <w:trPr>
          <w:trHeight w:val="227"/>
          <w:jc w:val="center"/>
        </w:trPr>
        <w:tc>
          <w:tcPr>
            <w:tcW w:w="1563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7" w:type="pct"/>
            <w:gridSpan w:val="10"/>
            <w:vAlign w:val="center"/>
          </w:tcPr>
          <w:p w:rsidR="00494424" w:rsidRPr="00A22864" w:rsidRDefault="009F0653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00426C">
        <w:trPr>
          <w:trHeight w:val="227"/>
          <w:jc w:val="center"/>
        </w:trPr>
        <w:tc>
          <w:tcPr>
            <w:tcW w:w="1563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7" w:type="pct"/>
            <w:gridSpan w:val="10"/>
            <w:vAlign w:val="center"/>
          </w:tcPr>
          <w:p w:rsidR="00494424" w:rsidRPr="00C06636" w:rsidRDefault="009F0653" w:rsidP="007233DA">
            <w:pPr>
              <w:spacing w:after="60"/>
            </w:pPr>
            <w:r>
              <w:rPr>
                <w:lang w:val="sr-Cyrl-CS"/>
              </w:rPr>
              <w:t>Анестезија и интензивно лечење</w:t>
            </w:r>
          </w:p>
        </w:tc>
      </w:tr>
      <w:tr w:rsidR="00975A90" w:rsidRPr="00A22864" w:rsidTr="0000426C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2" w:type="pct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64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00426C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2" w:type="pct"/>
            <w:vAlign w:val="center"/>
          </w:tcPr>
          <w:p w:rsidR="00494424" w:rsidRPr="00D37AE7" w:rsidRDefault="00D37AE7" w:rsidP="007233DA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2020.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CC320B" w:rsidP="007233DA">
            <w:pPr>
              <w:spacing w:after="60"/>
              <w:rPr>
                <w:lang w:val="sr-Cyrl-CS"/>
              </w:rPr>
            </w:pPr>
            <w:r>
              <w:rPr>
                <w:lang w:val="en-GB"/>
              </w:rPr>
              <w:t>Me</w:t>
            </w:r>
            <w:r>
              <w:t>дицински факултет Нови Сад</w:t>
            </w:r>
          </w:p>
        </w:tc>
        <w:tc>
          <w:tcPr>
            <w:tcW w:w="2364" w:type="pct"/>
            <w:gridSpan w:val="8"/>
            <w:vAlign w:val="center"/>
          </w:tcPr>
          <w:p w:rsidR="00494424" w:rsidRPr="00A22864" w:rsidRDefault="00215475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 (анестезиологија са реаниматологијом)</w:t>
            </w:r>
          </w:p>
        </w:tc>
      </w:tr>
      <w:tr w:rsidR="00975A90" w:rsidRPr="00A22864" w:rsidTr="0000426C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2" w:type="pct"/>
            <w:vAlign w:val="center"/>
          </w:tcPr>
          <w:p w:rsidR="00494424" w:rsidRPr="00A22864" w:rsidRDefault="009F0653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CC320B" w:rsidP="007233DA">
            <w:pPr>
              <w:spacing w:after="60"/>
              <w:rPr>
                <w:lang w:val="sr-Cyrl-CS"/>
              </w:rPr>
            </w:pPr>
            <w:r>
              <w:rPr>
                <w:lang w:val="en-GB"/>
              </w:rPr>
              <w:t>Me</w:t>
            </w:r>
            <w:r>
              <w:t>дицински факултет Нови Сад</w:t>
            </w:r>
          </w:p>
        </w:tc>
        <w:tc>
          <w:tcPr>
            <w:tcW w:w="2364" w:type="pct"/>
            <w:gridSpan w:val="8"/>
            <w:vAlign w:val="center"/>
          </w:tcPr>
          <w:p w:rsidR="00494424" w:rsidRPr="00A22864" w:rsidRDefault="00CC320B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 са анестезиологијом</w:t>
            </w:r>
          </w:p>
        </w:tc>
      </w:tr>
      <w:tr w:rsidR="00975A90" w:rsidRPr="00A22864" w:rsidTr="0000426C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975A90" w:rsidRPr="00975A90" w:rsidRDefault="00975A90" w:rsidP="007233DA">
            <w:pPr>
              <w:spacing w:after="60"/>
            </w:pPr>
            <w:r>
              <w:t>Специјализација</w:t>
            </w:r>
          </w:p>
        </w:tc>
        <w:tc>
          <w:tcPr>
            <w:tcW w:w="472" w:type="pct"/>
            <w:vAlign w:val="center"/>
          </w:tcPr>
          <w:p w:rsidR="00975A90" w:rsidRPr="00A22864" w:rsidRDefault="009F0653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CC320B">
              <w:rPr>
                <w:lang w:val="sr-Cyrl-CS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:rsidR="00975A90" w:rsidRPr="00A22864" w:rsidRDefault="00CC320B" w:rsidP="007233DA">
            <w:pPr>
              <w:spacing w:after="60"/>
              <w:rPr>
                <w:lang w:val="sr-Cyrl-CS"/>
              </w:rPr>
            </w:pPr>
            <w:r>
              <w:rPr>
                <w:lang w:val="en-GB"/>
              </w:rPr>
              <w:t>Me</w:t>
            </w:r>
            <w:r>
              <w:t>дицински факултет Нови Сад</w:t>
            </w:r>
          </w:p>
        </w:tc>
        <w:tc>
          <w:tcPr>
            <w:tcW w:w="2364" w:type="pct"/>
            <w:gridSpan w:val="8"/>
            <w:vAlign w:val="center"/>
          </w:tcPr>
          <w:p w:rsidR="00975A90" w:rsidRPr="00A22864" w:rsidRDefault="00CC320B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Анестезиологија са реаниматологијом</w:t>
            </w:r>
          </w:p>
        </w:tc>
      </w:tr>
      <w:tr w:rsidR="00975A90" w:rsidRPr="00A22864" w:rsidTr="0000426C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494424" w:rsidRPr="000D32C3" w:rsidRDefault="00494424" w:rsidP="007233DA">
            <w:pPr>
              <w:spacing w:after="60"/>
            </w:pPr>
            <w:r>
              <w:t>Магистратура</w:t>
            </w:r>
          </w:p>
        </w:tc>
        <w:tc>
          <w:tcPr>
            <w:tcW w:w="472" w:type="pct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2364" w:type="pct"/>
            <w:gridSpan w:val="8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00426C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2" w:type="pct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1074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2364" w:type="pct"/>
            <w:gridSpan w:val="8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00426C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2" w:type="pct"/>
            <w:vAlign w:val="center"/>
          </w:tcPr>
          <w:p w:rsidR="00494424" w:rsidRPr="00A22864" w:rsidRDefault="009F0653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1998.</w:t>
            </w:r>
          </w:p>
        </w:tc>
        <w:tc>
          <w:tcPr>
            <w:tcW w:w="1074" w:type="pct"/>
            <w:gridSpan w:val="2"/>
            <w:vAlign w:val="center"/>
          </w:tcPr>
          <w:p w:rsidR="00494424" w:rsidRPr="00CC320B" w:rsidRDefault="00CC320B" w:rsidP="007233DA">
            <w:pPr>
              <w:spacing w:after="60"/>
            </w:pPr>
            <w:r>
              <w:rPr>
                <w:lang w:val="en-GB"/>
              </w:rPr>
              <w:t>Me</w:t>
            </w:r>
            <w:r>
              <w:t>дицински факултет Нови Сад</w:t>
            </w:r>
          </w:p>
        </w:tc>
        <w:tc>
          <w:tcPr>
            <w:tcW w:w="2364" w:type="pct"/>
            <w:gridSpan w:val="8"/>
            <w:vAlign w:val="center"/>
          </w:tcPr>
          <w:p w:rsidR="00494424" w:rsidRPr="00A22864" w:rsidRDefault="00CC320B" w:rsidP="007233D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E476EC">
        <w:trPr>
          <w:trHeight w:val="227"/>
          <w:jc w:val="center"/>
        </w:trPr>
        <w:tc>
          <w:tcPr>
            <w:tcW w:w="307" w:type="pct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2" w:type="pct"/>
            <w:gridSpan w:val="3"/>
            <w:vAlign w:val="center"/>
          </w:tcPr>
          <w:p w:rsidR="00494424" w:rsidRPr="000D32C3" w:rsidRDefault="00494424" w:rsidP="007233D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5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E476EC">
        <w:trPr>
          <w:trHeight w:val="227"/>
          <w:jc w:val="center"/>
        </w:trPr>
        <w:tc>
          <w:tcPr>
            <w:tcW w:w="307" w:type="pct"/>
            <w:vAlign w:val="center"/>
          </w:tcPr>
          <w:p w:rsidR="00494424" w:rsidRPr="00E476EC" w:rsidRDefault="00494424" w:rsidP="007233DA">
            <w:pPr>
              <w:spacing w:after="60"/>
            </w:pPr>
          </w:p>
        </w:tc>
        <w:tc>
          <w:tcPr>
            <w:tcW w:w="1972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E476EC">
        <w:trPr>
          <w:trHeight w:val="227"/>
          <w:jc w:val="center"/>
        </w:trPr>
        <w:tc>
          <w:tcPr>
            <w:tcW w:w="307" w:type="pct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1972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E476EC">
        <w:trPr>
          <w:trHeight w:val="227"/>
          <w:jc w:val="center"/>
        </w:trPr>
        <w:tc>
          <w:tcPr>
            <w:tcW w:w="307" w:type="pct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1972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7233D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E476EC">
        <w:trPr>
          <w:trHeight w:val="227"/>
          <w:jc w:val="center"/>
        </w:trPr>
        <w:tc>
          <w:tcPr>
            <w:tcW w:w="307" w:type="pct"/>
            <w:vAlign w:val="center"/>
          </w:tcPr>
          <w:p w:rsidR="00FA083F" w:rsidRPr="00975A90" w:rsidRDefault="00FA083F" w:rsidP="007233DA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61" w:type="pct"/>
            <w:gridSpan w:val="9"/>
          </w:tcPr>
          <w:p w:rsidR="00FA083F" w:rsidRPr="00975A90" w:rsidRDefault="00FA083F" w:rsidP="007233DA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0" w:type="pct"/>
          </w:tcPr>
          <w:p w:rsidR="00FA083F" w:rsidRPr="00975A90" w:rsidRDefault="00FA083F" w:rsidP="007233D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4" w:type="pct"/>
          </w:tcPr>
          <w:p w:rsidR="00FA083F" w:rsidRPr="00975A90" w:rsidRDefault="00FA083F" w:rsidP="007233D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8" w:type="pct"/>
          </w:tcPr>
          <w:p w:rsidR="00FA083F" w:rsidRPr="00975A90" w:rsidRDefault="00FA083F" w:rsidP="007233D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307" w:type="pct"/>
            <w:vAlign w:val="center"/>
          </w:tcPr>
          <w:p w:rsidR="0000426C" w:rsidRPr="003E343F" w:rsidRDefault="0000426C" w:rsidP="0000426C">
            <w:pPr>
              <w:spacing w:line="276" w:lineRule="auto"/>
              <w:ind w:left="-23"/>
              <w:jc w:val="center"/>
            </w:pPr>
            <w:r w:rsidRPr="003E343F">
              <w:t>1.</w:t>
            </w:r>
          </w:p>
        </w:tc>
        <w:tc>
          <w:tcPr>
            <w:tcW w:w="3461" w:type="pct"/>
            <w:gridSpan w:val="9"/>
          </w:tcPr>
          <w:p w:rsidR="0000426C" w:rsidRPr="003E343F" w:rsidRDefault="00984760" w:rsidP="00984760">
            <w:pPr>
              <w:widowControl/>
              <w:jc w:val="both"/>
              <w:rPr>
                <w:bCs/>
                <w:color w:val="000000"/>
              </w:rPr>
            </w:pPr>
            <w:r w:rsidRPr="00984760">
              <w:rPr>
                <w:b/>
                <w:bCs/>
                <w:color w:val="000000"/>
              </w:rPr>
              <w:t>Jovanović G</w:t>
            </w:r>
            <w:r w:rsidRPr="00984760">
              <w:rPr>
                <w:bCs/>
                <w:color w:val="000000"/>
              </w:rPr>
              <w:t>, Luki</w:t>
            </w:r>
            <w:r>
              <w:rPr>
                <w:bCs/>
                <w:color w:val="000000"/>
              </w:rPr>
              <w:t>ć</w:t>
            </w:r>
            <w:r w:rsidRPr="00984760">
              <w:rPr>
                <w:bCs/>
                <w:color w:val="000000"/>
              </w:rPr>
              <w:t>-Sarkanovi</w:t>
            </w:r>
            <w:r>
              <w:rPr>
                <w:bCs/>
                <w:color w:val="000000"/>
              </w:rPr>
              <w:t>ć</w:t>
            </w:r>
            <w:r w:rsidRPr="00984760">
              <w:rPr>
                <w:bCs/>
                <w:color w:val="000000"/>
              </w:rPr>
              <w:t xml:space="preserve"> M, Lazeti</w:t>
            </w:r>
            <w:r>
              <w:rPr>
                <w:bCs/>
                <w:color w:val="000000"/>
              </w:rPr>
              <w:t>ć</w:t>
            </w:r>
            <w:r w:rsidRPr="00984760">
              <w:rPr>
                <w:bCs/>
                <w:color w:val="000000"/>
              </w:rPr>
              <w:t xml:space="preserve"> F, Tubi</w:t>
            </w:r>
            <w:r>
              <w:rPr>
                <w:bCs/>
                <w:color w:val="000000"/>
              </w:rPr>
              <w:t>ć</w:t>
            </w:r>
            <w:r w:rsidRPr="00984760">
              <w:rPr>
                <w:bCs/>
                <w:color w:val="000000"/>
              </w:rPr>
              <w:t xml:space="preserve"> T, Lendak D, Uvelin A. </w:t>
            </w: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HYPERLINK "https://www.mdpi.com/1648-9144/60/7/1183" </w:instrTex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  <w:fldChar w:fldCharType="separate"/>
            </w:r>
            <w:r w:rsidRPr="00984760">
              <w:rPr>
                <w:rStyle w:val="Hyperlink"/>
                <w:bCs/>
              </w:rPr>
              <w:t>The Effect of Intravenous Tranexamic Acid on Perioperative Blood Loss, Transfusion Requirements, Verticalization, and Ambulation in Total Knee Arthroplasty: A Randomized Double-Blind Study</w:t>
            </w:r>
            <w:r>
              <w:rPr>
                <w:bCs/>
                <w:color w:val="000000"/>
              </w:rPr>
              <w:fldChar w:fldCharType="end"/>
            </w:r>
            <w:r w:rsidRPr="00984760">
              <w:rPr>
                <w:bCs/>
                <w:color w:val="000000"/>
              </w:rPr>
              <w:t>. Medicina (Kaunas). 2024 Jul 21;60(7):1183.</w:t>
            </w:r>
          </w:p>
        </w:tc>
        <w:tc>
          <w:tcPr>
            <w:tcW w:w="460" w:type="pct"/>
            <w:vAlign w:val="center"/>
          </w:tcPr>
          <w:p w:rsidR="0000426C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84760">
              <w:rPr>
                <w:sz w:val="20"/>
                <w:szCs w:val="20"/>
              </w:rPr>
              <w:t>79/167</w:t>
            </w:r>
          </w:p>
          <w:p w:rsidR="00984760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4" w:type="pct"/>
            <w:vAlign w:val="center"/>
          </w:tcPr>
          <w:p w:rsidR="0000426C" w:rsidRDefault="00984760" w:rsidP="007233DA">
            <w:pPr>
              <w:pStyle w:val="TableParagraph"/>
              <w:spacing w:before="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984760" w:rsidRPr="003E343F" w:rsidRDefault="00984760" w:rsidP="007233DA">
            <w:pPr>
              <w:pStyle w:val="TableParagraph"/>
              <w:spacing w:before="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378" w:type="pct"/>
            <w:vAlign w:val="center"/>
          </w:tcPr>
          <w:p w:rsidR="0000426C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984760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307" w:type="pct"/>
            <w:vAlign w:val="center"/>
          </w:tcPr>
          <w:p w:rsidR="0000426C" w:rsidRPr="003E343F" w:rsidRDefault="0000426C" w:rsidP="0000426C">
            <w:pPr>
              <w:spacing w:line="276" w:lineRule="auto"/>
              <w:ind w:left="-23"/>
              <w:jc w:val="center"/>
            </w:pPr>
            <w:r w:rsidRPr="003E343F">
              <w:t>2.</w:t>
            </w:r>
          </w:p>
        </w:tc>
        <w:tc>
          <w:tcPr>
            <w:tcW w:w="3461" w:type="pct"/>
            <w:gridSpan w:val="9"/>
          </w:tcPr>
          <w:p w:rsidR="0000426C" w:rsidRPr="003E343F" w:rsidRDefault="0000426C" w:rsidP="00984760">
            <w:pPr>
              <w:widowControl/>
              <w:jc w:val="both"/>
              <w:rPr>
                <w:bCs/>
                <w:color w:val="000000"/>
              </w:rPr>
            </w:pPr>
            <w:r w:rsidRPr="0000426C">
              <w:rPr>
                <w:bCs/>
                <w:color w:val="000000"/>
              </w:rPr>
              <w:t xml:space="preserve">Gonzalez-Pizarro P, Brazzi L, Koch S, Trinks A, Muret J, </w:t>
            </w:r>
            <w:r w:rsidR="00984760">
              <w:rPr>
                <w:bCs/>
                <w:color w:val="000000"/>
              </w:rPr>
              <w:t>et al...</w:t>
            </w:r>
            <w:r w:rsidRPr="00984760">
              <w:rPr>
                <w:b/>
                <w:bCs/>
                <w:color w:val="000000"/>
              </w:rPr>
              <w:t>Jovanovi</w:t>
            </w:r>
            <w:r w:rsidR="00984760" w:rsidRPr="00984760">
              <w:rPr>
                <w:b/>
                <w:bCs/>
                <w:color w:val="000000"/>
              </w:rPr>
              <w:t>ć</w:t>
            </w:r>
            <w:r w:rsidRPr="00984760">
              <w:rPr>
                <w:b/>
                <w:bCs/>
                <w:color w:val="000000"/>
              </w:rPr>
              <w:t xml:space="preserve"> G</w:t>
            </w:r>
            <w:r w:rsidR="00984760">
              <w:rPr>
                <w:bCs/>
                <w:color w:val="000000"/>
              </w:rPr>
              <w:t>...</w:t>
            </w:r>
            <w:r w:rsidRPr="0000426C">
              <w:rPr>
                <w:bCs/>
                <w:color w:val="000000"/>
              </w:rPr>
              <w:t xml:space="preserve">; Sustainability National Representatives. European Society of Anaesthesiology and </w:t>
            </w:r>
            <w:r w:rsidR="00984760">
              <w:rPr>
                <w:bCs/>
                <w:color w:val="000000"/>
              </w:rPr>
              <w:fldChar w:fldCharType="begin"/>
            </w:r>
            <w:r w:rsidR="00984760">
              <w:rPr>
                <w:bCs/>
                <w:color w:val="000000"/>
              </w:rPr>
              <w:instrText xml:space="preserve"> HYPERLINK "https://journals.lww.com/ejanaesthesiology/fulltext/2024/04000/european_society_of_anaesthesiology_and_intensive.2.aspx" </w:instrText>
            </w:r>
            <w:r w:rsidR="00984760">
              <w:rPr>
                <w:bCs/>
                <w:color w:val="000000"/>
              </w:rPr>
            </w:r>
            <w:r w:rsidR="00984760">
              <w:rPr>
                <w:bCs/>
                <w:color w:val="000000"/>
              </w:rPr>
              <w:fldChar w:fldCharType="separate"/>
            </w:r>
            <w:r w:rsidRPr="00984760">
              <w:rPr>
                <w:rStyle w:val="Hyperlink"/>
                <w:bCs/>
              </w:rPr>
              <w:t>Intensive Care consensus document on sustainability: 4 scopes to achieve a more sustainable practice</w:t>
            </w:r>
            <w:r w:rsidR="00984760">
              <w:rPr>
                <w:bCs/>
                <w:color w:val="000000"/>
              </w:rPr>
              <w:fldChar w:fldCharType="end"/>
            </w:r>
            <w:r w:rsidRPr="0000426C">
              <w:rPr>
                <w:bCs/>
                <w:color w:val="000000"/>
              </w:rPr>
              <w:t>. Eur J Anae</w:t>
            </w:r>
            <w:r>
              <w:rPr>
                <w:bCs/>
                <w:color w:val="000000"/>
              </w:rPr>
              <w:t>sthesiol. 2024 Apr 1;41(4):260-</w:t>
            </w:r>
            <w:r w:rsidRPr="0000426C">
              <w:rPr>
                <w:bCs/>
                <w:color w:val="000000"/>
              </w:rPr>
              <w:t>77.</w:t>
            </w:r>
          </w:p>
        </w:tc>
        <w:tc>
          <w:tcPr>
            <w:tcW w:w="460" w:type="pct"/>
            <w:vAlign w:val="center"/>
          </w:tcPr>
          <w:p w:rsidR="0000426C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84760">
              <w:rPr>
                <w:sz w:val="20"/>
                <w:szCs w:val="20"/>
              </w:rPr>
              <w:t>9/34</w:t>
            </w:r>
          </w:p>
          <w:p w:rsidR="00984760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4" w:type="pct"/>
            <w:vAlign w:val="center"/>
          </w:tcPr>
          <w:p w:rsidR="0000426C" w:rsidRDefault="00984760" w:rsidP="007233DA">
            <w:pPr>
              <w:pStyle w:val="TableParagraph"/>
              <w:spacing w:before="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  <w:p w:rsidR="00984760" w:rsidRPr="003E343F" w:rsidRDefault="00984760" w:rsidP="007233DA">
            <w:pPr>
              <w:pStyle w:val="TableParagraph"/>
              <w:spacing w:before="8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378" w:type="pct"/>
            <w:vAlign w:val="center"/>
          </w:tcPr>
          <w:p w:rsidR="0000426C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  <w:p w:rsidR="00984760" w:rsidRDefault="00984760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307" w:type="pct"/>
            <w:vAlign w:val="center"/>
          </w:tcPr>
          <w:p w:rsidR="0000426C" w:rsidRPr="003E343F" w:rsidRDefault="0000426C" w:rsidP="0000426C">
            <w:pPr>
              <w:spacing w:line="276" w:lineRule="auto"/>
              <w:ind w:left="-23"/>
              <w:jc w:val="center"/>
            </w:pPr>
            <w:r w:rsidRPr="003E343F">
              <w:t>3.</w:t>
            </w:r>
          </w:p>
        </w:tc>
        <w:tc>
          <w:tcPr>
            <w:tcW w:w="3461" w:type="pct"/>
            <w:gridSpan w:val="9"/>
          </w:tcPr>
          <w:p w:rsidR="0000426C" w:rsidRPr="003E343F" w:rsidRDefault="0000426C" w:rsidP="007233DA">
            <w:pPr>
              <w:widowControl/>
              <w:jc w:val="both"/>
              <w:rPr>
                <w:b/>
                <w:color w:val="000000"/>
                <w:u w:val="single"/>
              </w:rPr>
            </w:pPr>
            <w:r w:rsidRPr="003E343F">
              <w:rPr>
                <w:bCs/>
                <w:color w:val="000000"/>
              </w:rPr>
              <w:t xml:space="preserve">White S, Shelton C, Gelb A, </w:t>
            </w:r>
            <w:r>
              <w:rPr>
                <w:bCs/>
                <w:color w:val="000000"/>
              </w:rPr>
              <w:t xml:space="preserve">Lawson C, McGain F, et al, </w:t>
            </w:r>
            <w:r w:rsidRPr="003E343F">
              <w:rPr>
                <w:rFonts w:eastAsiaTheme="minorHAnsi"/>
                <w:lang w:val="en-US" w:eastAsia="en-US"/>
              </w:rPr>
              <w:t>representing the World Federation of Societies of</w:t>
            </w:r>
            <w:r w:rsidRPr="003E343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E343F">
              <w:rPr>
                <w:rFonts w:eastAsiaTheme="minorHAnsi"/>
                <w:lang w:val="en-US" w:eastAsia="en-US"/>
              </w:rPr>
              <w:t>Anaesthesiologists</w:t>
            </w:r>
            <w:proofErr w:type="spellEnd"/>
            <w:r w:rsidRPr="003E343F">
              <w:rPr>
                <w:rFonts w:eastAsiaTheme="minorHAnsi"/>
                <w:lang w:val="en-US" w:eastAsia="en-US"/>
              </w:rPr>
              <w:t xml:space="preserve"> Global Working Group on Environmental Sustainability in</w:t>
            </w:r>
            <w:r w:rsidRPr="003E343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E343F">
              <w:rPr>
                <w:rFonts w:eastAsiaTheme="minorHAnsi"/>
                <w:lang w:val="en-US" w:eastAsia="en-US"/>
              </w:rPr>
              <w:t>Anaesthesia</w:t>
            </w:r>
            <w:proofErr w:type="spellEnd"/>
            <w:r w:rsidRPr="003E343F">
              <w:rPr>
                <w:rFonts w:eastAsiaTheme="minorHAnsi"/>
                <w:lang w:val="en-US" w:eastAsia="en-US"/>
              </w:rPr>
              <w:t xml:space="preserve"> (</w:t>
            </w:r>
            <w:proofErr w:type="spellStart"/>
            <w:r w:rsidRPr="003E343F">
              <w:rPr>
                <w:rFonts w:eastAsiaTheme="minorHAnsi"/>
                <w:b/>
                <w:lang w:val="en-US" w:eastAsia="en-US"/>
              </w:rPr>
              <w:t>Jovanovi</w:t>
            </w:r>
            <w:r>
              <w:rPr>
                <w:rFonts w:eastAsiaTheme="minorHAnsi"/>
                <w:b/>
                <w:lang w:val="en-US" w:eastAsia="en-US"/>
              </w:rPr>
              <w:t>ć</w:t>
            </w:r>
            <w:proofErr w:type="spellEnd"/>
            <w:r w:rsidRPr="003E343F">
              <w:rPr>
                <w:rFonts w:eastAsiaTheme="minorHAnsi"/>
                <w:b/>
                <w:lang w:val="en-US" w:eastAsia="en-US"/>
              </w:rPr>
              <w:t xml:space="preserve"> G</w:t>
            </w:r>
            <w:r w:rsidRPr="003E343F">
              <w:rPr>
                <w:rFonts w:eastAsiaTheme="minorHAnsi"/>
                <w:lang w:val="en-US" w:eastAsia="en-US"/>
              </w:rPr>
              <w:t>)</w:t>
            </w:r>
            <w:r w:rsidRPr="003E343F">
              <w:rPr>
                <w:rFonts w:eastAsiaTheme="minorHAnsi"/>
                <w:lang w:eastAsia="en-US"/>
              </w:rPr>
              <w:t>.</w:t>
            </w:r>
            <w:r w:rsidRPr="003E343F">
              <w:rPr>
                <w:bCs/>
                <w:color w:val="000000"/>
              </w:rPr>
              <w:t xml:space="preserve"> </w:t>
            </w:r>
            <w:hyperlink r:id="rId6" w:history="1">
              <w:r w:rsidRPr="003E343F">
                <w:rPr>
                  <w:rStyle w:val="Hyperlink"/>
                  <w:bCs/>
                </w:rPr>
                <w:t>Principles of environmentally-sustainable anaesthesia: a global consensus statement from the World Federation of Societies of Anaesthesiologists</w:t>
              </w:r>
            </w:hyperlink>
            <w:r w:rsidRPr="003E343F">
              <w:rPr>
                <w:bCs/>
                <w:color w:val="000000"/>
              </w:rPr>
              <w:t>. Anaesthesia</w:t>
            </w:r>
            <w:r>
              <w:rPr>
                <w:bCs/>
                <w:color w:val="000000"/>
              </w:rPr>
              <w:t>.</w:t>
            </w:r>
            <w:r w:rsidRPr="003E343F">
              <w:rPr>
                <w:bCs/>
                <w:color w:val="000000"/>
              </w:rPr>
              <w:t xml:space="preserve"> 2022;77(2):201-12.</w:t>
            </w:r>
          </w:p>
        </w:tc>
        <w:tc>
          <w:tcPr>
            <w:tcW w:w="460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43F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4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E343F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78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307" w:type="pct"/>
            <w:vAlign w:val="center"/>
          </w:tcPr>
          <w:p w:rsidR="0000426C" w:rsidRPr="003E343F" w:rsidRDefault="0000426C" w:rsidP="0000426C">
            <w:pPr>
              <w:spacing w:line="276" w:lineRule="auto"/>
              <w:ind w:left="-23"/>
              <w:jc w:val="center"/>
            </w:pPr>
            <w:r w:rsidRPr="003E343F">
              <w:t>4.</w:t>
            </w:r>
          </w:p>
        </w:tc>
        <w:tc>
          <w:tcPr>
            <w:tcW w:w="3461" w:type="pct"/>
            <w:gridSpan w:val="9"/>
          </w:tcPr>
          <w:p w:rsidR="0000426C" w:rsidRPr="003E343F" w:rsidRDefault="0000426C" w:rsidP="007233DA">
            <w:pPr>
              <w:jc w:val="both"/>
            </w:pPr>
            <w:r w:rsidRPr="00163A72">
              <w:rPr>
                <w:bdr w:val="none" w:sz="0" w:space="0" w:color="auto" w:frame="1"/>
              </w:rPr>
              <w:t>Popovi</w:t>
            </w:r>
            <w:r>
              <w:rPr>
                <w:bdr w:val="none" w:sz="0" w:space="0" w:color="auto" w:frame="1"/>
              </w:rPr>
              <w:t>ć</w:t>
            </w:r>
            <w:r w:rsidRPr="00163A72">
              <w:rPr>
                <w:bdr w:val="none" w:sz="0" w:space="0" w:color="auto" w:frame="1"/>
              </w:rPr>
              <w:t xml:space="preserve"> R,</w:t>
            </w:r>
            <w:r w:rsidRPr="003E343F">
              <w:t xml:space="preserve"> </w:t>
            </w:r>
            <w:r w:rsidRPr="00163A72">
              <w:rPr>
                <w:bdr w:val="none" w:sz="0" w:space="0" w:color="auto" w:frame="1"/>
              </w:rPr>
              <w:t>Tomas A,</w:t>
            </w:r>
            <w:r w:rsidRPr="003E343F">
              <w:t xml:space="preserve"> </w:t>
            </w:r>
            <w:r>
              <w:rPr>
                <w:bdr w:val="none" w:sz="0" w:space="0" w:color="auto" w:frame="1"/>
              </w:rPr>
              <w:t>Anđ</w:t>
            </w:r>
            <w:r w:rsidRPr="00163A72">
              <w:rPr>
                <w:bdr w:val="none" w:sz="0" w:space="0" w:color="auto" w:frame="1"/>
              </w:rPr>
              <w:t>eli</w:t>
            </w:r>
            <w:r>
              <w:rPr>
                <w:bdr w:val="none" w:sz="0" w:space="0" w:color="auto" w:frame="1"/>
              </w:rPr>
              <w:t>ć</w:t>
            </w:r>
            <w:r w:rsidRPr="00163A72">
              <w:rPr>
                <w:bdr w:val="none" w:sz="0" w:space="0" w:color="auto" w:frame="1"/>
              </w:rPr>
              <w:t xml:space="preserve"> N,</w:t>
            </w:r>
            <w:r w:rsidRPr="003E343F">
              <w:t xml:space="preserve"> </w:t>
            </w:r>
            <w:r w:rsidRPr="00163A72">
              <w:rPr>
                <w:bdr w:val="none" w:sz="0" w:space="0" w:color="auto" w:frame="1"/>
              </w:rPr>
              <w:t>Vickovi</w:t>
            </w:r>
            <w:r>
              <w:rPr>
                <w:bdr w:val="none" w:sz="0" w:space="0" w:color="auto" w:frame="1"/>
              </w:rPr>
              <w:t>ć</w:t>
            </w:r>
            <w:r w:rsidRPr="00163A72">
              <w:rPr>
                <w:bdr w:val="none" w:sz="0" w:space="0" w:color="auto" w:frame="1"/>
              </w:rPr>
              <w:t xml:space="preserve"> S,</w:t>
            </w:r>
            <w:r w:rsidRPr="003E343F">
              <w:t xml:space="preserve"> </w:t>
            </w:r>
            <w:r w:rsidRPr="00163A72">
              <w:rPr>
                <w:b/>
                <w:bdr w:val="none" w:sz="0" w:space="0" w:color="auto" w:frame="1"/>
              </w:rPr>
              <w:t>Jovanovi</w:t>
            </w:r>
            <w:r>
              <w:rPr>
                <w:b/>
                <w:bdr w:val="none" w:sz="0" w:space="0" w:color="auto" w:frame="1"/>
              </w:rPr>
              <w:t>ć</w:t>
            </w:r>
            <w:r w:rsidRPr="00163A72">
              <w:rPr>
                <w:b/>
                <w:bdr w:val="none" w:sz="0" w:space="0" w:color="auto" w:frame="1"/>
              </w:rPr>
              <w:t xml:space="preserve"> G,</w:t>
            </w:r>
            <w:r w:rsidRPr="003E343F">
              <w:t xml:space="preserve"> </w:t>
            </w:r>
            <w:r w:rsidRPr="00163A72">
              <w:rPr>
                <w:bdr w:val="none" w:sz="0" w:space="0" w:color="auto" w:frame="1"/>
              </w:rPr>
              <w:t>Bukumiri</w:t>
            </w:r>
            <w:r>
              <w:rPr>
                <w:bdr w:val="none" w:sz="0" w:space="0" w:color="auto" w:frame="1"/>
              </w:rPr>
              <w:t>ć</w:t>
            </w:r>
            <w:r w:rsidRPr="00163A72">
              <w:rPr>
                <w:bdr w:val="none" w:sz="0" w:space="0" w:color="auto" w:frame="1"/>
              </w:rPr>
              <w:t xml:space="preserve"> D,</w:t>
            </w:r>
            <w:r w:rsidRPr="003E343F">
              <w:t xml:space="preserve"> </w:t>
            </w:r>
            <w:r>
              <w:t>et al</w:t>
            </w:r>
            <w:r w:rsidRPr="003E343F">
              <w:t xml:space="preserve">. </w:t>
            </w:r>
            <w:hyperlink r:id="rId7" w:history="1">
              <w:r w:rsidRPr="003E343F">
                <w:rPr>
                  <w:rStyle w:val="Hyperlink"/>
                </w:rPr>
                <w:t>Five-year surveillance and correlation of antibiotic consumption and resistance of Gram-negative bacteria at an intensive care unit in Serbia</w:t>
              </w:r>
            </w:hyperlink>
            <w:r w:rsidRPr="003E343F">
              <w:t xml:space="preserve">. </w:t>
            </w:r>
            <w:r w:rsidRPr="003E343F">
              <w:rPr>
                <w:rStyle w:val="standard-view-style"/>
              </w:rPr>
              <w:t>J Chemother</w:t>
            </w:r>
            <w:r w:rsidRPr="003E343F">
              <w:t>. 2020;32(6):294-303.</w:t>
            </w:r>
            <w:r>
              <w:t xml:space="preserve"> </w:t>
            </w:r>
          </w:p>
        </w:tc>
        <w:tc>
          <w:tcPr>
            <w:tcW w:w="460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237/276</w:t>
            </w:r>
          </w:p>
        </w:tc>
        <w:tc>
          <w:tcPr>
            <w:tcW w:w="394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23</w:t>
            </w:r>
          </w:p>
        </w:tc>
        <w:tc>
          <w:tcPr>
            <w:tcW w:w="378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1.714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307" w:type="pct"/>
            <w:vAlign w:val="center"/>
          </w:tcPr>
          <w:p w:rsidR="0000426C" w:rsidRPr="003E343F" w:rsidRDefault="0000426C" w:rsidP="0000426C">
            <w:pPr>
              <w:spacing w:line="276" w:lineRule="auto"/>
              <w:ind w:left="-23"/>
              <w:jc w:val="center"/>
            </w:pPr>
            <w:r w:rsidRPr="003E343F">
              <w:t>5.</w:t>
            </w:r>
          </w:p>
        </w:tc>
        <w:tc>
          <w:tcPr>
            <w:tcW w:w="3461" w:type="pct"/>
            <w:gridSpan w:val="9"/>
          </w:tcPr>
          <w:p w:rsidR="0000426C" w:rsidRPr="003E343F" w:rsidRDefault="0000426C" w:rsidP="007F15A6">
            <w:pPr>
              <w:widowControl/>
              <w:jc w:val="both"/>
              <w:rPr>
                <w:rFonts w:eastAsiaTheme="minorHAnsi"/>
                <w:lang w:val="en-US" w:eastAsia="en-US"/>
              </w:rPr>
            </w:pPr>
            <w:r w:rsidRPr="003E343F">
              <w:rPr>
                <w:b/>
                <w:color w:val="000000"/>
              </w:rPr>
              <w:t>Jovanovi</w:t>
            </w:r>
            <w:r>
              <w:rPr>
                <w:b/>
                <w:color w:val="000000"/>
              </w:rPr>
              <w:t>ć</w:t>
            </w:r>
            <w:r w:rsidRPr="003E343F">
              <w:rPr>
                <w:b/>
                <w:color w:val="000000"/>
              </w:rPr>
              <w:t xml:space="preserve"> G</w:t>
            </w:r>
            <w:r w:rsidRPr="003E343F">
              <w:rPr>
                <w:color w:val="000000"/>
              </w:rPr>
              <w:t>, Karaba Jakovljevi</w:t>
            </w:r>
            <w:r>
              <w:rPr>
                <w:color w:val="000000"/>
              </w:rPr>
              <w:t>ć</w:t>
            </w:r>
            <w:r w:rsidRPr="003E343F">
              <w:rPr>
                <w:color w:val="000000"/>
              </w:rPr>
              <w:t xml:space="preserve"> D, Luki</w:t>
            </w:r>
            <w:r>
              <w:rPr>
                <w:color w:val="000000"/>
              </w:rPr>
              <w:t>ć</w:t>
            </w:r>
            <w:r w:rsidRPr="003E343F">
              <w:rPr>
                <w:color w:val="000000"/>
              </w:rPr>
              <w:t>-Sarkanovi</w:t>
            </w:r>
            <w:r>
              <w:rPr>
                <w:color w:val="000000"/>
              </w:rPr>
              <w:t>ć</w:t>
            </w:r>
            <w:r w:rsidRPr="003E343F">
              <w:rPr>
                <w:color w:val="000000"/>
              </w:rPr>
              <w:t xml:space="preserve"> M. </w:t>
            </w:r>
            <w:hyperlink r:id="rId8" w:history="1">
              <w:r w:rsidRPr="003E343F">
                <w:rPr>
                  <w:rStyle w:val="Hyperlink"/>
                </w:rPr>
                <w:t>Enhanced Recovery in Surgical Intensive care: A Review</w:t>
              </w:r>
            </w:hyperlink>
            <w:r w:rsidRPr="003E343F">
              <w:rPr>
                <w:color w:val="000000"/>
              </w:rPr>
              <w:t xml:space="preserve">. </w:t>
            </w:r>
            <w:r w:rsidRPr="003E343F">
              <w:t>Front Med (Lausanne)</w:t>
            </w:r>
            <w:r w:rsidRPr="003E343F">
              <w:rPr>
                <w:color w:val="000000"/>
              </w:rPr>
              <w:t>. 2018;5</w:t>
            </w:r>
            <w:r>
              <w:rPr>
                <w:color w:val="000000"/>
              </w:rPr>
              <w:t>(art. no 256</w:t>
            </w:r>
            <w:r w:rsidRPr="003E343F">
              <w:rPr>
                <w:color w:val="000000"/>
              </w:rPr>
              <w:t>):1-6.</w:t>
            </w:r>
          </w:p>
        </w:tc>
        <w:tc>
          <w:tcPr>
            <w:tcW w:w="460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32/160</w:t>
            </w:r>
          </w:p>
        </w:tc>
        <w:tc>
          <w:tcPr>
            <w:tcW w:w="394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E34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3.113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307" w:type="pct"/>
            <w:vAlign w:val="center"/>
          </w:tcPr>
          <w:p w:rsidR="0000426C" w:rsidRPr="003E343F" w:rsidRDefault="0000426C" w:rsidP="00DD6A3C">
            <w:pPr>
              <w:spacing w:line="276" w:lineRule="auto"/>
              <w:ind w:left="-23"/>
              <w:jc w:val="center"/>
            </w:pPr>
            <w:r>
              <w:lastRenderedPageBreak/>
              <w:t>6.</w:t>
            </w:r>
          </w:p>
        </w:tc>
        <w:tc>
          <w:tcPr>
            <w:tcW w:w="3461" w:type="pct"/>
            <w:gridSpan w:val="9"/>
          </w:tcPr>
          <w:p w:rsidR="0000426C" w:rsidRPr="003E343F" w:rsidRDefault="0000426C" w:rsidP="0000426C">
            <w:pPr>
              <w:pStyle w:val="NoSpacing"/>
              <w:jc w:val="both"/>
            </w:pPr>
            <w:r w:rsidRPr="003E343F">
              <w:t>Karaba Jakovljevi</w:t>
            </w:r>
            <w:r>
              <w:t>ć</w:t>
            </w:r>
            <w:r w:rsidRPr="003E343F">
              <w:t xml:space="preserve"> D, Eri</w:t>
            </w:r>
            <w:r>
              <w:t>ć</w:t>
            </w:r>
            <w:r w:rsidRPr="003E343F">
              <w:t xml:space="preserve"> M, </w:t>
            </w:r>
            <w:r w:rsidRPr="003E343F">
              <w:rPr>
                <w:b/>
              </w:rPr>
              <w:t>Jovanovi</w:t>
            </w:r>
            <w:r>
              <w:rPr>
                <w:b/>
              </w:rPr>
              <w:t>ć</w:t>
            </w:r>
            <w:r w:rsidRPr="003E343F">
              <w:rPr>
                <w:b/>
              </w:rPr>
              <w:t xml:space="preserve"> G</w:t>
            </w:r>
            <w:r w:rsidRPr="00163A72">
              <w:rPr>
                <w:b/>
              </w:rPr>
              <w:t>,</w:t>
            </w:r>
            <w:r w:rsidRPr="003E343F">
              <w:t xml:space="preserve"> Buljcik-</w:t>
            </w:r>
            <w:r>
              <w:t>Č</w:t>
            </w:r>
            <w:r w:rsidRPr="003E343F">
              <w:t>upi</w:t>
            </w:r>
            <w:r>
              <w:t>ć</w:t>
            </w:r>
            <w:r w:rsidRPr="003E343F">
              <w:t xml:space="preserve"> M, Ponorac N.</w:t>
            </w:r>
            <w:r>
              <w:t xml:space="preserve"> </w:t>
            </w:r>
            <w:hyperlink r:id="rId9" w:history="1">
              <w:r w:rsidRPr="003E343F">
                <w:rPr>
                  <w:rStyle w:val="Hyperlink"/>
                </w:rPr>
                <w:t>Explosive muscle power assessment in elite athletes using wingate anaerobic test</w:t>
              </w:r>
            </w:hyperlink>
            <w:r w:rsidRPr="003E343F">
              <w:t>. Rev Bras Med Esporte. 2018;24(2):107-11.</w:t>
            </w:r>
          </w:p>
        </w:tc>
        <w:tc>
          <w:tcPr>
            <w:tcW w:w="460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81/81</w:t>
            </w:r>
          </w:p>
        </w:tc>
        <w:tc>
          <w:tcPr>
            <w:tcW w:w="394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23</w:t>
            </w:r>
          </w:p>
        </w:tc>
        <w:tc>
          <w:tcPr>
            <w:tcW w:w="378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0.236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307" w:type="pct"/>
            <w:vAlign w:val="center"/>
          </w:tcPr>
          <w:p w:rsidR="0000426C" w:rsidRPr="003E343F" w:rsidRDefault="0000426C" w:rsidP="00DD6A3C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461" w:type="pct"/>
            <w:gridSpan w:val="9"/>
          </w:tcPr>
          <w:p w:rsidR="0000426C" w:rsidRPr="003E343F" w:rsidRDefault="0000426C" w:rsidP="0000426C">
            <w:pPr>
              <w:pStyle w:val="NoSpacing"/>
              <w:jc w:val="both"/>
            </w:pPr>
            <w:r w:rsidRPr="003E343F">
              <w:t xml:space="preserve">Meier J, Filipescu D, Kozek-Langenecker S, </w:t>
            </w:r>
            <w:r>
              <w:t>Llau Pitarch J, Mallet S, Martus S, Matot I,</w:t>
            </w:r>
            <w:r w:rsidRPr="003E343F">
              <w:t xml:space="preserve"> the ETPOS collaborators (</w:t>
            </w:r>
            <w:r w:rsidRPr="003E343F">
              <w:rPr>
                <w:b/>
              </w:rPr>
              <w:t>Jovanovi</w:t>
            </w:r>
            <w:r>
              <w:rPr>
                <w:b/>
              </w:rPr>
              <w:t xml:space="preserve">ć </w:t>
            </w:r>
            <w:r w:rsidRPr="003E343F">
              <w:rPr>
                <w:b/>
              </w:rPr>
              <w:t>G</w:t>
            </w:r>
            <w:r w:rsidRPr="003E343F">
              <w:t xml:space="preserve">). </w:t>
            </w:r>
            <w:hyperlink r:id="rId10" w:history="1">
              <w:r w:rsidRPr="003E343F">
                <w:rPr>
                  <w:rStyle w:val="Hyperlink"/>
                </w:rPr>
                <w:t>Intraoperative transfusion practices in Europe</w:t>
              </w:r>
            </w:hyperlink>
            <w:r w:rsidRPr="003E343F">
              <w:t xml:space="preserve">. </w:t>
            </w:r>
            <w:r w:rsidRPr="003E343F">
              <w:rPr>
                <w:rStyle w:val="standard-view-style"/>
              </w:rPr>
              <w:t>Br J Anaesth</w:t>
            </w:r>
            <w:r w:rsidRPr="003E343F">
              <w:t>. 2016;116(2):255–61.</w:t>
            </w:r>
          </w:p>
        </w:tc>
        <w:tc>
          <w:tcPr>
            <w:tcW w:w="460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1/31</w:t>
            </w:r>
          </w:p>
        </w:tc>
        <w:tc>
          <w:tcPr>
            <w:tcW w:w="394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21a</w:t>
            </w:r>
          </w:p>
        </w:tc>
        <w:tc>
          <w:tcPr>
            <w:tcW w:w="378" w:type="pct"/>
            <w:vAlign w:val="center"/>
          </w:tcPr>
          <w:p w:rsidR="0000426C" w:rsidRPr="003E343F" w:rsidRDefault="0000426C" w:rsidP="007233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E343F">
              <w:rPr>
                <w:sz w:val="20"/>
                <w:szCs w:val="20"/>
              </w:rPr>
              <w:t>6.238</w:t>
            </w:r>
          </w:p>
        </w:tc>
      </w:tr>
      <w:tr w:rsidR="0000426C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0426C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00426C" w:rsidRPr="00A22864" w:rsidTr="00E476EC">
        <w:trPr>
          <w:trHeight w:val="227"/>
          <w:jc w:val="center"/>
        </w:trPr>
        <w:tc>
          <w:tcPr>
            <w:tcW w:w="2760" w:type="pct"/>
            <w:gridSpan w:val="6"/>
            <w:vAlign w:val="center"/>
          </w:tcPr>
          <w:p w:rsidR="0000426C" w:rsidRPr="00A22864" w:rsidRDefault="0000426C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40" w:type="pct"/>
            <w:gridSpan w:val="7"/>
            <w:vAlign w:val="center"/>
          </w:tcPr>
          <w:p w:rsidR="0000426C" w:rsidRPr="007233DA" w:rsidRDefault="00074AF3" w:rsidP="007233DA">
            <w:pPr>
              <w:spacing w:after="60"/>
            </w:pPr>
            <w:r>
              <w:t>203</w:t>
            </w:r>
          </w:p>
        </w:tc>
      </w:tr>
      <w:tr w:rsidR="0000426C" w:rsidRPr="00A22864" w:rsidTr="00E476EC">
        <w:trPr>
          <w:trHeight w:val="227"/>
          <w:jc w:val="center"/>
        </w:trPr>
        <w:tc>
          <w:tcPr>
            <w:tcW w:w="2760" w:type="pct"/>
            <w:gridSpan w:val="6"/>
            <w:vAlign w:val="center"/>
          </w:tcPr>
          <w:p w:rsidR="0000426C" w:rsidRPr="00A22864" w:rsidRDefault="0000426C" w:rsidP="007233D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40" w:type="pct"/>
            <w:gridSpan w:val="7"/>
            <w:vAlign w:val="center"/>
          </w:tcPr>
          <w:p w:rsidR="0000426C" w:rsidRPr="007233DA" w:rsidRDefault="0000426C" w:rsidP="007233DA">
            <w:pPr>
              <w:spacing w:after="60"/>
            </w:pPr>
            <w:r>
              <w:t>9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2760" w:type="pct"/>
            <w:gridSpan w:val="6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1" w:type="pct"/>
            <w:gridSpan w:val="2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609" w:type="pct"/>
            <w:gridSpan w:val="5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00426C" w:rsidRPr="00A22864" w:rsidTr="007233DA">
        <w:trPr>
          <w:trHeight w:val="227"/>
          <w:jc w:val="center"/>
        </w:trPr>
        <w:tc>
          <w:tcPr>
            <w:tcW w:w="2760" w:type="pct"/>
            <w:gridSpan w:val="6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1" w:type="pct"/>
            <w:gridSpan w:val="2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09" w:type="pct"/>
            <w:gridSpan w:val="5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</w:p>
        </w:tc>
      </w:tr>
      <w:tr w:rsidR="0000426C" w:rsidRPr="00A22864" w:rsidTr="00E476EC">
        <w:trPr>
          <w:trHeight w:val="227"/>
          <w:jc w:val="center"/>
        </w:trPr>
        <w:tc>
          <w:tcPr>
            <w:tcW w:w="2760" w:type="pct"/>
            <w:gridSpan w:val="6"/>
            <w:vAlign w:val="center"/>
          </w:tcPr>
          <w:p w:rsidR="0000426C" w:rsidRPr="00A22864" w:rsidRDefault="0000426C" w:rsidP="007233D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40" w:type="pct"/>
            <w:gridSpan w:val="7"/>
            <w:vAlign w:val="center"/>
          </w:tcPr>
          <w:p w:rsidR="0000426C" w:rsidRDefault="0000426C" w:rsidP="008D6CEF">
            <w:pPr>
              <w:spacing w:after="200"/>
              <w:ind w:left="3" w:firstLine="717"/>
            </w:pPr>
            <w:r>
              <w:rPr>
                <w:lang w:val="sr-Cyrl-CS"/>
              </w:rPr>
              <w:t>Добитиница је награде</w:t>
            </w:r>
            <w:r>
              <w:t xml:space="preserve"> </w:t>
            </w:r>
            <w:r>
              <w:rPr>
                <w:lang w:val="sr-Cyrl-CS"/>
              </w:rPr>
              <w:t>„</w:t>
            </w:r>
            <w:r w:rsidRPr="00742815">
              <w:rPr>
                <w:i/>
              </w:rPr>
              <w:t>Young Teacher Recognition Award</w:t>
            </w:r>
            <w:r>
              <w:rPr>
                <w:lang w:val="sr-Cyrl-CS"/>
              </w:rPr>
              <w:t xml:space="preserve"> „ за 2011.годину за Источну Европу коју додељује европско удружење анестезиолога </w:t>
            </w:r>
            <w:r w:rsidRPr="00742815">
              <w:rPr>
                <w:i/>
                <w:lang w:val="sr-Cyrl-CS"/>
              </w:rPr>
              <w:t>(</w:t>
            </w:r>
            <w:r w:rsidRPr="00742815">
              <w:rPr>
                <w:i/>
              </w:rPr>
              <w:t>European</w:t>
            </w:r>
            <w:r w:rsidRPr="00742815">
              <w:t xml:space="preserve"> </w:t>
            </w:r>
            <w:r w:rsidRPr="00742815">
              <w:rPr>
                <w:i/>
              </w:rPr>
              <w:t>Societies of Anaesthesiologists</w:t>
            </w:r>
            <w:r w:rsidRPr="00742815">
              <w:rPr>
                <w:i/>
                <w:lang w:val="sr-Cyrl-CS"/>
              </w:rPr>
              <w:t>-</w:t>
            </w:r>
            <w:r w:rsidRPr="00742815">
              <w:rPr>
                <w:i/>
              </w:rPr>
              <w:t>ESA</w:t>
            </w:r>
            <w:r w:rsidRPr="00742815">
              <w:rPr>
                <w:i/>
                <w:lang w:val="sr-Cyrl-CS"/>
              </w:rPr>
              <w:t xml:space="preserve"> )</w:t>
            </w:r>
            <w:r>
              <w:rPr>
                <w:lang w:val="sr-Cyrl-CS"/>
              </w:rPr>
              <w:t xml:space="preserve"> за најперспективније младе предаваче у Европи</w:t>
            </w:r>
          </w:p>
          <w:p w:rsidR="0000426C" w:rsidRPr="0062610B" w:rsidRDefault="0000426C" w:rsidP="008D6CEF">
            <w:pPr>
              <w:spacing w:after="200"/>
              <w:ind w:left="3" w:firstLine="717"/>
            </w:pPr>
            <w:r>
              <w:rPr>
                <w:lang w:val="sr-Cyrl-CS"/>
              </w:rPr>
              <w:t>Члан је</w:t>
            </w:r>
            <w:r>
              <w:t xml:space="preserve"> </w:t>
            </w:r>
            <w:r>
              <w:rPr>
                <w:lang w:val="sr-Cyrl-CS"/>
              </w:rPr>
              <w:t>едукационог тима и Европског Удружења</w:t>
            </w:r>
            <w:r>
              <w:t xml:space="preserve"> </w:t>
            </w:r>
            <w:r w:rsidRPr="00742815">
              <w:rPr>
                <w:i/>
                <w:lang w:val="sr-Cyrl-CS"/>
              </w:rPr>
              <w:t>(</w:t>
            </w:r>
            <w:r w:rsidRPr="00742815">
              <w:rPr>
                <w:i/>
              </w:rPr>
              <w:t>European</w:t>
            </w:r>
            <w:r w:rsidRPr="00742815">
              <w:t xml:space="preserve"> </w:t>
            </w:r>
            <w:r w:rsidRPr="00742815">
              <w:rPr>
                <w:i/>
              </w:rPr>
              <w:t>Societies of Anaesthesiologists</w:t>
            </w:r>
            <w:r w:rsidRPr="00742815">
              <w:rPr>
                <w:i/>
                <w:lang w:val="sr-Cyrl-CS"/>
              </w:rPr>
              <w:t>-</w:t>
            </w:r>
            <w:r w:rsidRPr="00742815">
              <w:rPr>
                <w:i/>
              </w:rPr>
              <w:t>ESA</w:t>
            </w:r>
            <w:r w:rsidRPr="00742815">
              <w:rPr>
                <w:i/>
                <w:lang w:val="sr-Cyrl-CS"/>
              </w:rPr>
              <w:t>)</w:t>
            </w:r>
            <w:r>
              <w:rPr>
                <w:lang w:val="sr-Cyrl-CS"/>
              </w:rPr>
              <w:t xml:space="preserve"> анестезиолога за семинаре посвећене едукацији анестезиога </w:t>
            </w:r>
            <w:r>
              <w:t>“</w:t>
            </w:r>
            <w:r w:rsidRPr="00617470">
              <w:rPr>
                <w:i/>
              </w:rPr>
              <w:t>Teaching How to Teach</w:t>
            </w:r>
            <w:r>
              <w:t>”,од 2006 године.</w:t>
            </w:r>
          </w:p>
          <w:p w:rsidR="0000426C" w:rsidRPr="008D6CEF" w:rsidRDefault="0000426C" w:rsidP="008D6CEF">
            <w:pPr>
              <w:ind w:left="3" w:firstLine="717"/>
            </w:pPr>
            <w:r>
              <w:t>Завршила је специјалну едукацију из методике наставе "College Teaching and Learning" на Валден Универзитету САД.</w:t>
            </w:r>
          </w:p>
          <w:p w:rsidR="0000426C" w:rsidRPr="00535B56" w:rsidRDefault="0000426C" w:rsidP="008D6CEF">
            <w:pPr>
              <w:pStyle w:val="ListParagraph"/>
              <w:widowControl/>
              <w:numPr>
                <w:ilvl w:val="0"/>
                <w:numId w:val="1"/>
              </w:numPr>
              <w:wordWrap/>
              <w:spacing w:after="40"/>
              <w:ind w:left="3" w:firstLine="717"/>
              <w:jc w:val="left"/>
              <w:rPr>
                <w:lang w:val="sr-Latn-CS"/>
              </w:rPr>
            </w:pPr>
            <w:r w:rsidRPr="00946B05">
              <w:rPr>
                <w:lang w:val="sr-Latn-CS"/>
              </w:rPr>
              <w:t>Члан</w:t>
            </w:r>
            <w:r>
              <w:rPr>
                <w:lang w:val="sr-Cyrl-CS"/>
              </w:rPr>
              <w:t xml:space="preserve"> је </w:t>
            </w:r>
            <w:r>
              <w:rPr>
                <w:lang w:val="sr-Latn-CS"/>
              </w:rPr>
              <w:t xml:space="preserve"> председништва Удружења анес</w:t>
            </w:r>
            <w:r w:rsidRPr="00946B05">
              <w:rPr>
                <w:lang w:val="sr-Latn-CS"/>
              </w:rPr>
              <w:t>тезиолога и интензивиста Србије</w:t>
            </w:r>
          </w:p>
          <w:p w:rsidR="0000426C" w:rsidRPr="00946B05" w:rsidRDefault="0000426C" w:rsidP="008D6CEF">
            <w:pPr>
              <w:pStyle w:val="ListParagraph"/>
              <w:widowControl/>
              <w:numPr>
                <w:ilvl w:val="0"/>
                <w:numId w:val="1"/>
              </w:numPr>
              <w:wordWrap/>
              <w:spacing w:after="40"/>
              <w:ind w:left="3" w:firstLine="717"/>
              <w:jc w:val="left"/>
              <w:rPr>
                <w:lang w:val="sr-Latn-CS"/>
              </w:rPr>
            </w:pPr>
            <w:r>
              <w:rPr>
                <w:lang w:val="sr-Cyrl-CS"/>
              </w:rPr>
              <w:t>Члан  је каунсила Европског Удружења анестезиолога и интензивиста</w:t>
            </w:r>
          </w:p>
          <w:p w:rsidR="0000426C" w:rsidRDefault="0000426C" w:rsidP="008D6CEF">
            <w:pPr>
              <w:pStyle w:val="ListParagraph"/>
              <w:widowControl/>
              <w:numPr>
                <w:ilvl w:val="0"/>
                <w:numId w:val="1"/>
              </w:numPr>
              <w:wordWrap/>
              <w:ind w:left="3" w:firstLine="717"/>
              <w:jc w:val="left"/>
              <w:rPr>
                <w:lang w:val="sr-Cyrl-CS"/>
              </w:rPr>
            </w:pPr>
            <w:r>
              <w:rPr>
                <w:lang w:val="sr-Cyrl-CS"/>
              </w:rPr>
              <w:t>Члан је</w:t>
            </w:r>
            <w:r w:rsidRPr="00946B05">
              <w:rPr>
                <w:lang w:val="sr-Cyrl-CS"/>
              </w:rPr>
              <w:t xml:space="preserve"> Секције за анестезију и интензивну терапију Друштва лекара Војводине</w:t>
            </w:r>
          </w:p>
          <w:p w:rsidR="0000426C" w:rsidRPr="00946B05" w:rsidRDefault="0000426C" w:rsidP="008D6CEF">
            <w:pPr>
              <w:pStyle w:val="ListParagraph"/>
              <w:widowControl/>
              <w:numPr>
                <w:ilvl w:val="0"/>
                <w:numId w:val="1"/>
              </w:numPr>
              <w:wordWrap/>
              <w:ind w:left="3" w:firstLine="717"/>
              <w:jc w:val="left"/>
              <w:rPr>
                <w:lang w:val="sr-Cyrl-CS"/>
              </w:rPr>
            </w:pPr>
            <w:r>
              <w:rPr>
                <w:lang w:val="sr-Cyrl-CS"/>
              </w:rPr>
              <w:t>Ч</w:t>
            </w:r>
            <w:r w:rsidRPr="00946B05">
              <w:rPr>
                <w:lang w:val="sr-Cyrl-CS"/>
              </w:rPr>
              <w:t>лан је Српског лекарског друштва.</w:t>
            </w:r>
          </w:p>
          <w:p w:rsidR="0000426C" w:rsidRPr="00A22864" w:rsidRDefault="0000426C" w:rsidP="00535B56">
            <w:pPr>
              <w:pStyle w:val="ListParagraph"/>
              <w:widowControl/>
              <w:wordWrap/>
              <w:spacing w:after="40"/>
              <w:ind w:left="1080"/>
              <w:jc w:val="left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C1A"/>
    <w:multiLevelType w:val="hybridMultilevel"/>
    <w:tmpl w:val="29505EA4"/>
    <w:lvl w:ilvl="0" w:tplc="A9B88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4424"/>
    <w:rsid w:val="0000426C"/>
    <w:rsid w:val="000429DC"/>
    <w:rsid w:val="00074AF3"/>
    <w:rsid w:val="000E4C0D"/>
    <w:rsid w:val="001520D2"/>
    <w:rsid w:val="00163A72"/>
    <w:rsid w:val="001B3854"/>
    <w:rsid w:val="00215475"/>
    <w:rsid w:val="00284B6C"/>
    <w:rsid w:val="00345D33"/>
    <w:rsid w:val="00352A0F"/>
    <w:rsid w:val="00386861"/>
    <w:rsid w:val="00387F06"/>
    <w:rsid w:val="003E343F"/>
    <w:rsid w:val="003F11C2"/>
    <w:rsid w:val="00414A2D"/>
    <w:rsid w:val="00422B33"/>
    <w:rsid w:val="00470515"/>
    <w:rsid w:val="00494424"/>
    <w:rsid w:val="004A469D"/>
    <w:rsid w:val="004E3D2B"/>
    <w:rsid w:val="004F5215"/>
    <w:rsid w:val="00505EBB"/>
    <w:rsid w:val="00527DA1"/>
    <w:rsid w:val="00535B56"/>
    <w:rsid w:val="0057219B"/>
    <w:rsid w:val="005E252D"/>
    <w:rsid w:val="00682A91"/>
    <w:rsid w:val="00690494"/>
    <w:rsid w:val="006B216A"/>
    <w:rsid w:val="006E53F5"/>
    <w:rsid w:val="00714E8F"/>
    <w:rsid w:val="007233DA"/>
    <w:rsid w:val="00755CDE"/>
    <w:rsid w:val="0077618A"/>
    <w:rsid w:val="007910F0"/>
    <w:rsid w:val="007F15A6"/>
    <w:rsid w:val="00810DBF"/>
    <w:rsid w:val="00813A33"/>
    <w:rsid w:val="00840824"/>
    <w:rsid w:val="008D0587"/>
    <w:rsid w:val="008D6CEF"/>
    <w:rsid w:val="008F2417"/>
    <w:rsid w:val="00901C7F"/>
    <w:rsid w:val="00941633"/>
    <w:rsid w:val="00975A90"/>
    <w:rsid w:val="00977F90"/>
    <w:rsid w:val="00984760"/>
    <w:rsid w:val="009F0653"/>
    <w:rsid w:val="00A37C51"/>
    <w:rsid w:val="00A51FB2"/>
    <w:rsid w:val="00A662B2"/>
    <w:rsid w:val="00AA6B2E"/>
    <w:rsid w:val="00AB00FC"/>
    <w:rsid w:val="00B17857"/>
    <w:rsid w:val="00B41EF4"/>
    <w:rsid w:val="00B6429A"/>
    <w:rsid w:val="00B811F2"/>
    <w:rsid w:val="00B939D2"/>
    <w:rsid w:val="00BE2DFF"/>
    <w:rsid w:val="00BF5906"/>
    <w:rsid w:val="00C06636"/>
    <w:rsid w:val="00C80507"/>
    <w:rsid w:val="00CC320B"/>
    <w:rsid w:val="00D37AE7"/>
    <w:rsid w:val="00D61609"/>
    <w:rsid w:val="00D81995"/>
    <w:rsid w:val="00D946AF"/>
    <w:rsid w:val="00D97D61"/>
    <w:rsid w:val="00DB5D81"/>
    <w:rsid w:val="00DD6A3C"/>
    <w:rsid w:val="00E12AA8"/>
    <w:rsid w:val="00E463C0"/>
    <w:rsid w:val="00E476EC"/>
    <w:rsid w:val="00E6409E"/>
    <w:rsid w:val="00EA25FB"/>
    <w:rsid w:val="00FA083F"/>
    <w:rsid w:val="00FA753F"/>
    <w:rsid w:val="00FD7D62"/>
    <w:rsid w:val="00FE01EB"/>
    <w:rsid w:val="00FF0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link w:val="Heading2Char"/>
    <w:uiPriority w:val="9"/>
    <w:qFormat/>
    <w:rsid w:val="006E53F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38686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68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6AF"/>
    <w:pPr>
      <w:wordWrap w:val="0"/>
      <w:autoSpaceDE/>
      <w:autoSpaceDN/>
      <w:adjustRightInd/>
      <w:ind w:left="720"/>
      <w:contextualSpacing/>
      <w:jc w:val="both"/>
    </w:pPr>
    <w:rPr>
      <w:rFonts w:eastAsia="Times New Roman"/>
      <w:kern w:val="2"/>
      <w:lang w:val="en-US" w:eastAsia="en-US"/>
    </w:rPr>
  </w:style>
  <w:style w:type="character" w:customStyle="1" w:styleId="standard-view-style">
    <w:name w:val="standard-view-style"/>
    <w:basedOn w:val="DefaultParagraphFont"/>
    <w:rsid w:val="00A51FB2"/>
  </w:style>
  <w:style w:type="character" w:customStyle="1" w:styleId="Heading2Char">
    <w:name w:val="Heading 2 Char"/>
    <w:basedOn w:val="DefaultParagraphFont"/>
    <w:link w:val="Heading2"/>
    <w:uiPriority w:val="9"/>
    <w:rsid w:val="006E53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h">
    <w:name w:val="hh"/>
    <w:basedOn w:val="DefaultParagraphFont"/>
    <w:rsid w:val="006E53F5"/>
  </w:style>
  <w:style w:type="character" w:styleId="FollowedHyperlink">
    <w:name w:val="FollowedHyperlink"/>
    <w:basedOn w:val="DefaultParagraphFont"/>
    <w:uiPriority w:val="99"/>
    <w:semiHidden/>
    <w:unhideWhenUsed/>
    <w:rsid w:val="00AA6B2E"/>
    <w:rPr>
      <w:color w:val="954F72" w:themeColor="followedHyperlink"/>
      <w:u w:val="single"/>
    </w:rPr>
  </w:style>
  <w:style w:type="character" w:customStyle="1" w:styleId="group-doi">
    <w:name w:val="group-doi"/>
    <w:basedOn w:val="DefaultParagraphFont"/>
    <w:rsid w:val="00B811F2"/>
  </w:style>
  <w:style w:type="paragraph" w:styleId="NoSpacing">
    <w:name w:val="No Spacing"/>
    <w:uiPriority w:val="1"/>
    <w:qFormat/>
    <w:rsid w:val="006B2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med.2018.00256/f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1120009X.2020.17555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LICA~1.MIR\AppData\Local\Temp\Anaesthesia%20-%202021%20-%20White%20-%20Principles%20of%20environmentally%25u2010sustainable%20anaesthesia%20a%20global%20consensus%20statement%20from%20th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Jovanovic%20Gordana%20V&amp;samoar=" TargetMode="External"/><Relationship Id="rId10" Type="http://schemas.openxmlformats.org/officeDocument/2006/relationships/hyperlink" Target="https://reader.elsevier.com/reader/sd/pii/S0007091217304853?token=42CF5C772B7D3B2AD2716E71BF5241C43A0BD998ED425B1761C4C3EDE05F660FEF79F0F293F7950A19981522F3B0F0F1&amp;originRegion=eu-west-1&amp;originCreation=20220202123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rbme/a/fwBQps6qVYV7hsZWFjfjr3w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14</cp:revision>
  <cp:lastPrinted>2022-02-02T10:48:00Z</cp:lastPrinted>
  <dcterms:created xsi:type="dcterms:W3CDTF">2022-01-31T22:26:00Z</dcterms:created>
  <dcterms:modified xsi:type="dcterms:W3CDTF">2024-08-28T08:20:00Z</dcterms:modified>
</cp:coreProperties>
</file>