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1737"/>
        <w:gridCol w:w="837"/>
        <w:gridCol w:w="42"/>
        <w:gridCol w:w="1772"/>
        <w:gridCol w:w="575"/>
        <w:gridCol w:w="629"/>
        <w:gridCol w:w="50"/>
        <w:gridCol w:w="981"/>
        <w:gridCol w:w="314"/>
        <w:gridCol w:w="989"/>
        <w:gridCol w:w="751"/>
        <w:gridCol w:w="789"/>
      </w:tblGrid>
      <w:tr w:rsidR="000B66B6" w:rsidRPr="000B66B6" w:rsidTr="007E2C95">
        <w:trPr>
          <w:trHeight w:val="227"/>
          <w:jc w:val="center"/>
        </w:trPr>
        <w:tc>
          <w:tcPr>
            <w:tcW w:w="1579" w:type="pct"/>
            <w:gridSpan w:val="4"/>
            <w:vAlign w:val="center"/>
          </w:tcPr>
          <w:p w:rsidR="00C83697" w:rsidRPr="000B66B6" w:rsidRDefault="00C83697" w:rsidP="000B66B6">
            <w:pPr>
              <w:spacing w:after="60"/>
              <w:rPr>
                <w:lang w:val="sr-Cyrl-CS"/>
              </w:rPr>
            </w:pPr>
            <w:r w:rsidRPr="000B66B6">
              <w:rPr>
                <w:b/>
                <w:lang w:val="sr-Cyrl-CS"/>
              </w:rPr>
              <w:t>Име и презиме</w:t>
            </w:r>
          </w:p>
        </w:tc>
        <w:tc>
          <w:tcPr>
            <w:tcW w:w="3421" w:type="pct"/>
            <w:gridSpan w:val="9"/>
            <w:vAlign w:val="center"/>
          </w:tcPr>
          <w:p w:rsidR="00C83697" w:rsidRPr="000B66B6" w:rsidRDefault="003133C6" w:rsidP="000B66B6">
            <w:pPr>
              <w:spacing w:after="60"/>
              <w:rPr>
                <w:lang w:val="sr-Cyrl-CS"/>
              </w:rPr>
            </w:pPr>
            <w:hyperlink r:id="rId5" w:anchor=".Xxl_J54zZPZZhttp://kobson.nb.rs/nauka_u_srbiji.132.html?autor=Andrijevic%20Ljiljana%20N&amp;samoar=" w:history="1">
              <w:r w:rsidR="00C83697" w:rsidRPr="00D2532F">
                <w:rPr>
                  <w:rStyle w:val="Hyperlink"/>
                  <w:lang w:val="sr-Cyrl-CS"/>
                </w:rPr>
                <w:t>Љиљана Андријевић</w:t>
              </w:r>
            </w:hyperlink>
            <w:r w:rsidR="00C83697" w:rsidRPr="000B66B6">
              <w:rPr>
                <w:lang w:val="sr-Cyrl-CS"/>
              </w:rPr>
              <w:t xml:space="preserve"> </w:t>
            </w:r>
          </w:p>
        </w:tc>
      </w:tr>
      <w:tr w:rsidR="000B66B6" w:rsidRPr="000B66B6" w:rsidTr="007E2C95">
        <w:trPr>
          <w:trHeight w:val="227"/>
          <w:jc w:val="center"/>
        </w:trPr>
        <w:tc>
          <w:tcPr>
            <w:tcW w:w="1579" w:type="pct"/>
            <w:gridSpan w:val="4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b/>
                <w:lang w:val="sr-Cyrl-CS"/>
              </w:rPr>
              <w:t>Звање</w:t>
            </w:r>
          </w:p>
        </w:tc>
        <w:tc>
          <w:tcPr>
            <w:tcW w:w="3421" w:type="pct"/>
            <w:gridSpan w:val="9"/>
          </w:tcPr>
          <w:p w:rsidR="000B66B6" w:rsidRPr="000B66B6" w:rsidRDefault="000B66B6" w:rsidP="000B66B6">
            <w:pPr>
              <w:rPr>
                <w:lang w:val="sr-Cyrl-CS"/>
              </w:rPr>
            </w:pPr>
            <w:r w:rsidRPr="000B66B6">
              <w:t>Р</w:t>
            </w:r>
            <w:r w:rsidRPr="000B66B6">
              <w:rPr>
                <w:lang w:val="sr-Cyrl-CS"/>
              </w:rPr>
              <w:t>ед</w:t>
            </w:r>
            <w:r w:rsidRPr="000B66B6">
              <w:t>o</w:t>
            </w:r>
            <w:r w:rsidRPr="000B66B6">
              <w:rPr>
                <w:lang w:val="sr-Cyrl-CS"/>
              </w:rPr>
              <w:t>вни професор</w:t>
            </w:r>
          </w:p>
        </w:tc>
      </w:tr>
      <w:tr w:rsidR="000B66B6" w:rsidRPr="000B66B6" w:rsidTr="007E2C95">
        <w:trPr>
          <w:trHeight w:val="227"/>
          <w:jc w:val="center"/>
        </w:trPr>
        <w:tc>
          <w:tcPr>
            <w:tcW w:w="1579" w:type="pct"/>
            <w:gridSpan w:val="4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21" w:type="pct"/>
            <w:gridSpan w:val="9"/>
          </w:tcPr>
          <w:p w:rsidR="000B66B6" w:rsidRPr="000B66B6" w:rsidRDefault="000B66B6" w:rsidP="000B66B6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Биохемија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1140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18" w:type="pct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 xml:space="preserve">Година </w:t>
            </w:r>
          </w:p>
        </w:tc>
        <w:tc>
          <w:tcPr>
            <w:tcW w:w="1532" w:type="pct"/>
            <w:gridSpan w:val="5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 xml:space="preserve">Институција </w:t>
            </w:r>
          </w:p>
        </w:tc>
        <w:tc>
          <w:tcPr>
            <w:tcW w:w="1910" w:type="pct"/>
            <w:gridSpan w:val="5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1140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Избор у звање</w:t>
            </w:r>
          </w:p>
        </w:tc>
        <w:tc>
          <w:tcPr>
            <w:tcW w:w="418" w:type="pct"/>
          </w:tcPr>
          <w:p w:rsidR="000B66B6" w:rsidRPr="000B66B6" w:rsidRDefault="000B66B6" w:rsidP="000B66B6">
            <w:r w:rsidRPr="000B66B6">
              <w:rPr>
                <w:lang w:val="sr-Cyrl-CS"/>
              </w:rPr>
              <w:t>201</w:t>
            </w:r>
            <w:r w:rsidRPr="000B66B6">
              <w:t>7.</w:t>
            </w:r>
          </w:p>
        </w:tc>
        <w:tc>
          <w:tcPr>
            <w:tcW w:w="1532" w:type="pct"/>
            <w:gridSpan w:val="5"/>
          </w:tcPr>
          <w:p w:rsidR="000B66B6" w:rsidRPr="000B66B6" w:rsidRDefault="000B66B6" w:rsidP="000B66B6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10" w:type="pct"/>
            <w:gridSpan w:val="5"/>
          </w:tcPr>
          <w:p w:rsidR="000B66B6" w:rsidRPr="000B66B6" w:rsidRDefault="000B66B6" w:rsidP="000B66B6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Биохемија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1140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Здравствена специјализација</w:t>
            </w:r>
          </w:p>
        </w:tc>
        <w:tc>
          <w:tcPr>
            <w:tcW w:w="418" w:type="pct"/>
          </w:tcPr>
          <w:p w:rsidR="000B66B6" w:rsidRPr="000B66B6" w:rsidRDefault="000B66B6" w:rsidP="000B66B6">
            <w:r w:rsidRPr="000B66B6">
              <w:rPr>
                <w:lang w:val="sr-Cyrl-CS"/>
              </w:rPr>
              <w:t>2002</w:t>
            </w:r>
            <w:r w:rsidRPr="000B66B6">
              <w:t>.</w:t>
            </w:r>
          </w:p>
        </w:tc>
        <w:tc>
          <w:tcPr>
            <w:tcW w:w="1532" w:type="pct"/>
            <w:gridSpan w:val="5"/>
          </w:tcPr>
          <w:p w:rsidR="000B66B6" w:rsidRPr="000B66B6" w:rsidRDefault="000B66B6" w:rsidP="00FB0558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Медицински факултет</w:t>
            </w:r>
            <w:r w:rsidR="00FB0558">
              <w:rPr>
                <w:lang w:val="en-US"/>
              </w:rPr>
              <w:t xml:space="preserve"> </w:t>
            </w:r>
            <w:r w:rsidRPr="000B66B6">
              <w:rPr>
                <w:lang w:val="sr-Cyrl-CS"/>
              </w:rPr>
              <w:t>Нови Сад</w:t>
            </w:r>
          </w:p>
        </w:tc>
        <w:tc>
          <w:tcPr>
            <w:tcW w:w="1910" w:type="pct"/>
            <w:gridSpan w:val="5"/>
          </w:tcPr>
          <w:p w:rsidR="000B66B6" w:rsidRPr="000B66B6" w:rsidRDefault="000B66B6" w:rsidP="000B66B6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Медицинска генетика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1140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Докторат</w:t>
            </w:r>
          </w:p>
        </w:tc>
        <w:tc>
          <w:tcPr>
            <w:tcW w:w="418" w:type="pct"/>
          </w:tcPr>
          <w:p w:rsidR="000B66B6" w:rsidRPr="000B66B6" w:rsidRDefault="000B66B6" w:rsidP="000B66B6">
            <w:r w:rsidRPr="000B66B6">
              <w:rPr>
                <w:lang w:val="sr-Cyrl-CS"/>
              </w:rPr>
              <w:t>1999</w:t>
            </w:r>
            <w:r w:rsidRPr="000B66B6">
              <w:t>.</w:t>
            </w:r>
          </w:p>
        </w:tc>
        <w:tc>
          <w:tcPr>
            <w:tcW w:w="1532" w:type="pct"/>
            <w:gridSpan w:val="5"/>
          </w:tcPr>
          <w:p w:rsidR="000B66B6" w:rsidRPr="000B66B6" w:rsidRDefault="000B66B6" w:rsidP="00FB0558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Медицински факултет</w:t>
            </w:r>
            <w:r w:rsidR="00FB0558">
              <w:rPr>
                <w:lang w:val="en-US"/>
              </w:rPr>
              <w:t xml:space="preserve"> </w:t>
            </w:r>
            <w:r w:rsidRPr="000B66B6">
              <w:rPr>
                <w:lang w:val="sr-Cyrl-CS"/>
              </w:rPr>
              <w:t>Београд</w:t>
            </w:r>
          </w:p>
        </w:tc>
        <w:tc>
          <w:tcPr>
            <w:tcW w:w="1910" w:type="pct"/>
            <w:gridSpan w:val="5"/>
          </w:tcPr>
          <w:p w:rsidR="000B66B6" w:rsidRPr="000B66B6" w:rsidRDefault="000B66B6" w:rsidP="000B66B6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Биохемија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1140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</w:pPr>
            <w:r w:rsidRPr="000B66B6">
              <w:t>Магистратура</w:t>
            </w:r>
          </w:p>
        </w:tc>
        <w:tc>
          <w:tcPr>
            <w:tcW w:w="418" w:type="pct"/>
          </w:tcPr>
          <w:p w:rsidR="000B66B6" w:rsidRPr="000B66B6" w:rsidRDefault="000B66B6" w:rsidP="000B66B6">
            <w:r w:rsidRPr="000B66B6">
              <w:rPr>
                <w:lang w:val="sr-Cyrl-CS"/>
              </w:rPr>
              <w:t>1995</w:t>
            </w:r>
            <w:r w:rsidRPr="000B66B6">
              <w:t>.</w:t>
            </w:r>
          </w:p>
        </w:tc>
        <w:tc>
          <w:tcPr>
            <w:tcW w:w="1532" w:type="pct"/>
            <w:gridSpan w:val="5"/>
          </w:tcPr>
          <w:p w:rsidR="000B66B6" w:rsidRPr="000B66B6" w:rsidRDefault="000B66B6" w:rsidP="000B66B6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Медицински факултет Београд</w:t>
            </w:r>
          </w:p>
        </w:tc>
        <w:tc>
          <w:tcPr>
            <w:tcW w:w="1910" w:type="pct"/>
            <w:gridSpan w:val="5"/>
          </w:tcPr>
          <w:p w:rsidR="000B66B6" w:rsidRPr="000B66B6" w:rsidRDefault="000B66B6" w:rsidP="000B66B6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Биохемија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1140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Диплома</w:t>
            </w:r>
          </w:p>
        </w:tc>
        <w:tc>
          <w:tcPr>
            <w:tcW w:w="418" w:type="pct"/>
          </w:tcPr>
          <w:p w:rsidR="000B66B6" w:rsidRPr="000B66B6" w:rsidRDefault="000B66B6" w:rsidP="000B66B6">
            <w:r w:rsidRPr="000B66B6">
              <w:rPr>
                <w:lang w:val="sr-Cyrl-CS"/>
              </w:rPr>
              <w:t>1990</w:t>
            </w:r>
            <w:r w:rsidRPr="000B66B6">
              <w:t>.</w:t>
            </w:r>
          </w:p>
        </w:tc>
        <w:tc>
          <w:tcPr>
            <w:tcW w:w="1532" w:type="pct"/>
            <w:gridSpan w:val="5"/>
          </w:tcPr>
          <w:p w:rsidR="000B66B6" w:rsidRPr="000B66B6" w:rsidRDefault="000B66B6" w:rsidP="000B66B6">
            <w:r w:rsidRPr="000B66B6">
              <w:rPr>
                <w:lang w:val="sr-Cyrl-CS"/>
              </w:rPr>
              <w:t>Природно математички факултет Приштин</w:t>
            </w:r>
            <w:r w:rsidRPr="000B66B6">
              <w:t>a</w:t>
            </w:r>
          </w:p>
        </w:tc>
        <w:tc>
          <w:tcPr>
            <w:tcW w:w="1910" w:type="pct"/>
            <w:gridSpan w:val="5"/>
          </w:tcPr>
          <w:p w:rsidR="000B66B6" w:rsidRPr="000B66B6" w:rsidRDefault="000B66B6" w:rsidP="000B66B6">
            <w:pPr>
              <w:rPr>
                <w:lang w:val="sr-Cyrl-CS"/>
              </w:rPr>
            </w:pPr>
            <w:r w:rsidRPr="000B66B6">
              <w:rPr>
                <w:lang w:val="sr-Cyrl-CS"/>
              </w:rPr>
              <w:t>Биологија</w:t>
            </w:r>
          </w:p>
        </w:tc>
      </w:tr>
      <w:tr w:rsidR="000B66B6" w:rsidRPr="000B66B6" w:rsidTr="00C8369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b/>
                <w:lang w:val="sr-Cyrl-CS"/>
              </w:rPr>
              <w:t>Списак дисертација</w:t>
            </w:r>
            <w:r w:rsidRPr="000B66B6">
              <w:rPr>
                <w:b/>
              </w:rPr>
              <w:t xml:space="preserve">-докторских уметничких пројеката </w:t>
            </w:r>
            <w:r w:rsidRPr="000B66B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Р.Б.</w:t>
            </w:r>
          </w:p>
        </w:tc>
        <w:tc>
          <w:tcPr>
            <w:tcW w:w="2479" w:type="pct"/>
            <w:gridSpan w:val="5"/>
            <w:vAlign w:val="center"/>
          </w:tcPr>
          <w:p w:rsidR="000B66B6" w:rsidRPr="000B66B6" w:rsidRDefault="000B66B6" w:rsidP="000B66B6">
            <w:pPr>
              <w:spacing w:after="60"/>
            </w:pPr>
            <w:r w:rsidRPr="000B66B6">
              <w:rPr>
                <w:lang w:val="sr-Cyrl-CS"/>
              </w:rPr>
              <w:t>Наслов дисертације</w:t>
            </w:r>
            <w:r w:rsidRPr="000B66B6">
              <w:t xml:space="preserve">- докторског уметничког пројекта </w:t>
            </w:r>
          </w:p>
        </w:tc>
        <w:tc>
          <w:tcPr>
            <w:tcW w:w="829" w:type="pct"/>
            <w:gridSpan w:val="3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Име кандидата</w:t>
            </w:r>
          </w:p>
        </w:tc>
        <w:tc>
          <w:tcPr>
            <w:tcW w:w="651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 xml:space="preserve">*пријављена </w:t>
            </w:r>
          </w:p>
        </w:tc>
        <w:tc>
          <w:tcPr>
            <w:tcW w:w="769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** одбрањена</w:t>
            </w:r>
          </w:p>
        </w:tc>
      </w:tr>
      <w:tr w:rsidR="0099745F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99745F" w:rsidRPr="0099745F" w:rsidRDefault="0099745F" w:rsidP="000B66B6">
            <w:pPr>
              <w:spacing w:after="60"/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479" w:type="pct"/>
            <w:gridSpan w:val="5"/>
            <w:vAlign w:val="center"/>
          </w:tcPr>
          <w:p w:rsidR="0099745F" w:rsidRPr="000B66B6" w:rsidRDefault="0099745F" w:rsidP="0099745F">
            <w:pPr>
              <w:spacing w:after="60"/>
              <w:rPr>
                <w:lang w:val="sr-Cyrl-CS"/>
              </w:rPr>
            </w:pPr>
            <w:r w:rsidRPr="0099745F">
              <w:rPr>
                <w:lang w:val="sr-Cyrl-CS"/>
              </w:rPr>
              <w:t>ПРОГНОСТИЧКИ ЗНАЧАЈ БИОМАРКЕРА СЕПСЕ НА ИСХОД ЛЕЧЕЊА КРИТИЧНО</w:t>
            </w:r>
            <w:r>
              <w:rPr>
                <w:lang/>
              </w:rPr>
              <w:t xml:space="preserve"> </w:t>
            </w:r>
            <w:r w:rsidRPr="0099745F">
              <w:rPr>
                <w:lang w:val="sr-Cyrl-CS"/>
              </w:rPr>
              <w:t>ОБОЛЕЛИХ ПАЦИЈЕНАТА СА COVID-19 ИНФЕКЦИЈОМ</w:t>
            </w:r>
          </w:p>
        </w:tc>
        <w:tc>
          <w:tcPr>
            <w:tcW w:w="829" w:type="pct"/>
            <w:gridSpan w:val="3"/>
            <w:vAlign w:val="center"/>
          </w:tcPr>
          <w:p w:rsidR="0099745F" w:rsidRPr="000B66B6" w:rsidRDefault="0099745F" w:rsidP="000B66B6">
            <w:pPr>
              <w:spacing w:after="60"/>
              <w:rPr>
                <w:lang w:val="sr-Cyrl-CS"/>
              </w:rPr>
            </w:pPr>
            <w:r w:rsidRPr="0099745F">
              <w:rPr>
                <w:lang w:val="sr-Cyrl-CS"/>
              </w:rPr>
              <w:t>Дејана Бајић</w:t>
            </w:r>
          </w:p>
        </w:tc>
        <w:tc>
          <w:tcPr>
            <w:tcW w:w="651" w:type="pct"/>
            <w:gridSpan w:val="2"/>
            <w:vAlign w:val="center"/>
          </w:tcPr>
          <w:p w:rsidR="0099745F" w:rsidRPr="000B66B6" w:rsidRDefault="0099745F" w:rsidP="000B66B6">
            <w:pPr>
              <w:spacing w:after="60"/>
              <w:rPr>
                <w:lang w:val="sr-Cyrl-CS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99745F" w:rsidRPr="0099745F" w:rsidRDefault="0099745F" w:rsidP="000B66B6">
            <w:pPr>
              <w:spacing w:after="60"/>
              <w:rPr>
                <w:lang/>
              </w:rPr>
            </w:pPr>
            <w:r>
              <w:rPr>
                <w:lang/>
              </w:rPr>
              <w:t>2024.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0B66B6" w:rsidRPr="0099745F" w:rsidRDefault="0099745F" w:rsidP="000B66B6">
            <w:pPr>
              <w:spacing w:after="60"/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479" w:type="pct"/>
            <w:gridSpan w:val="5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ДЕЈСТВО МЕТФОРМИНА И НИТРОГЛИЦЕРИНА СА 2-ДЕОКСИ-D-ГЛУКОЗОМ И КОФЕИНОМ НА ОДАБРАНИМ ЋЕЛИЈСКИМ КУЛТУРАМА</w:t>
            </w:r>
          </w:p>
        </w:tc>
        <w:tc>
          <w:tcPr>
            <w:tcW w:w="829" w:type="pct"/>
            <w:gridSpan w:val="3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Весна Зељковић</w:t>
            </w:r>
          </w:p>
        </w:tc>
        <w:tc>
          <w:tcPr>
            <w:tcW w:w="651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2019.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0B66B6" w:rsidRPr="0099745F" w:rsidRDefault="0099745F" w:rsidP="000B66B6">
            <w:pPr>
              <w:spacing w:after="60"/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2479" w:type="pct"/>
            <w:gridSpan w:val="5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ДЕТЕКЦИЈА МУТАЦИЈА ГЕНА ЗА АЛФА 1 -АНТИТРИПСИН ПРИМЕНОМ ЛАНЧАНЕ РЕАКЦИЈЕ ПОЛИМЕРАЗЕ КОД ПАЦИЈЕНАТА СА ХРОНИЧНОМ ОПСТРУКТИВНОМ БОЛЕСТИ ПЛУЋА</w:t>
            </w:r>
          </w:p>
        </w:tc>
        <w:tc>
          <w:tcPr>
            <w:tcW w:w="829" w:type="pct"/>
            <w:gridSpan w:val="3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Јелена Стојчевић Малетић</w:t>
            </w:r>
          </w:p>
        </w:tc>
        <w:tc>
          <w:tcPr>
            <w:tcW w:w="651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2012.</w:t>
            </w:r>
          </w:p>
        </w:tc>
      </w:tr>
      <w:tr w:rsidR="000B66B6" w:rsidRPr="000B66B6" w:rsidTr="00C8369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B66B6" w:rsidRPr="000B66B6" w:rsidRDefault="000B66B6" w:rsidP="000B66B6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*Година  у којој је дисертација</w:t>
            </w:r>
            <w:r w:rsidRPr="000B66B6">
              <w:t xml:space="preserve">-докторски уметнички пројекат </w:t>
            </w:r>
            <w:r w:rsidRPr="000B66B6">
              <w:rPr>
                <w:lang w:val="sr-Cyrl-CS"/>
              </w:rPr>
              <w:t xml:space="preserve"> пријављена</w:t>
            </w:r>
            <w:r w:rsidRPr="000B66B6">
              <w:t xml:space="preserve">-пријављен </w:t>
            </w:r>
            <w:r w:rsidRPr="000B66B6">
              <w:rPr>
                <w:lang w:val="sr-Cyrl-CS"/>
              </w:rPr>
              <w:t>(само за дисертације</w:t>
            </w:r>
            <w:r w:rsidRPr="000B66B6">
              <w:t xml:space="preserve">-докторске уметничке пројекте </w:t>
            </w:r>
            <w:r w:rsidRPr="000B66B6">
              <w:rPr>
                <w:lang w:val="sr-Cyrl-CS"/>
              </w:rPr>
              <w:t xml:space="preserve"> које су у току), ** Година у којој је дисертација</w:t>
            </w:r>
            <w:r w:rsidRPr="000B66B6">
              <w:t xml:space="preserve">-докторски уметнички пројекат </w:t>
            </w:r>
            <w:r w:rsidRPr="000B66B6">
              <w:rPr>
                <w:lang w:val="sr-Cyrl-CS"/>
              </w:rPr>
              <w:t xml:space="preserve"> одбрањена (само за дисертације</w:t>
            </w:r>
            <w:r w:rsidRPr="000B66B6">
              <w:t xml:space="preserve">-докторско уметничке пројекте </w:t>
            </w:r>
            <w:r w:rsidRPr="000B66B6">
              <w:rPr>
                <w:lang w:val="sr-Cyrl-CS"/>
              </w:rPr>
              <w:t xml:space="preserve"> из ранијег периода)</w:t>
            </w:r>
          </w:p>
        </w:tc>
      </w:tr>
      <w:tr w:rsidR="000B66B6" w:rsidRPr="000B66B6" w:rsidTr="00C8369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B66B6" w:rsidRPr="000B66B6" w:rsidRDefault="000B66B6" w:rsidP="003F1BA0">
            <w:pPr>
              <w:spacing w:after="60"/>
              <w:rPr>
                <w:b/>
              </w:rPr>
            </w:pPr>
            <w:r w:rsidRPr="000B66B6">
              <w:rPr>
                <w:b/>
                <w:lang w:val="sr-Cyrl-CS"/>
              </w:rPr>
              <w:t>Категоризација публикације</w:t>
            </w:r>
            <w:r w:rsidRPr="000B66B6">
              <w:rPr>
                <w:b/>
              </w:rPr>
              <w:t xml:space="preserve"> научних радова  из области датог студијског програма </w:t>
            </w:r>
            <w:r w:rsidRPr="000B66B6">
              <w:rPr>
                <w:b/>
                <w:lang w:val="sr-Cyrl-CS"/>
              </w:rPr>
              <w:t xml:space="preserve"> према класификацији ре</w:t>
            </w:r>
            <w:r w:rsidRPr="000B66B6">
              <w:rPr>
                <w:b/>
              </w:rPr>
              <w:t>с</w:t>
            </w:r>
            <w:r w:rsidRPr="000B66B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B66B6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0B66B6" w:rsidRPr="00513D4F" w:rsidRDefault="000B66B6" w:rsidP="000B66B6">
            <w:pPr>
              <w:spacing w:line="276" w:lineRule="auto"/>
              <w:ind w:left="-23"/>
              <w:jc w:val="center"/>
            </w:pPr>
            <w:r w:rsidRPr="00513D4F">
              <w:t>Р.б.</w:t>
            </w:r>
          </w:p>
        </w:tc>
        <w:tc>
          <w:tcPr>
            <w:tcW w:w="3465" w:type="pct"/>
            <w:gridSpan w:val="9"/>
          </w:tcPr>
          <w:p w:rsidR="000B66B6" w:rsidRPr="00513D4F" w:rsidRDefault="000B66B6" w:rsidP="000B66B6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13D4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4" w:type="pct"/>
          </w:tcPr>
          <w:p w:rsidR="000B66B6" w:rsidRPr="00513D4F" w:rsidRDefault="000B66B6" w:rsidP="000B66B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ISI</w:t>
            </w:r>
          </w:p>
        </w:tc>
        <w:tc>
          <w:tcPr>
            <w:tcW w:w="375" w:type="pct"/>
          </w:tcPr>
          <w:p w:rsidR="000B66B6" w:rsidRPr="00513D4F" w:rsidRDefault="000B66B6" w:rsidP="000B66B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M</w:t>
            </w:r>
          </w:p>
        </w:tc>
        <w:tc>
          <w:tcPr>
            <w:tcW w:w="394" w:type="pct"/>
          </w:tcPr>
          <w:p w:rsidR="000B66B6" w:rsidRPr="00513D4F" w:rsidRDefault="000B66B6" w:rsidP="000B66B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IF</w:t>
            </w:r>
          </w:p>
        </w:tc>
      </w:tr>
      <w:tr w:rsidR="00B47E2C" w:rsidRPr="000B66B6" w:rsidTr="00BC6F2D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1.</w:t>
            </w:r>
          </w:p>
        </w:tc>
        <w:tc>
          <w:tcPr>
            <w:tcW w:w="3465" w:type="pct"/>
            <w:gridSpan w:val="9"/>
          </w:tcPr>
          <w:p w:rsidR="00B47E2C" w:rsidRDefault="00B47E2C" w:rsidP="00B47E2C">
            <w:pPr>
              <w:jc w:val="both"/>
            </w:pPr>
            <w:r w:rsidRPr="00E01008">
              <w:t>Dobrijevic D</w:t>
            </w:r>
            <w:r>
              <w:t xml:space="preserve">, </w:t>
            </w:r>
            <w:r w:rsidRPr="00E01008">
              <w:t>Antic J</w:t>
            </w:r>
            <w:r>
              <w:t xml:space="preserve">, </w:t>
            </w:r>
            <w:r w:rsidRPr="00B47E2C">
              <w:t>Rakic G,</w:t>
            </w:r>
            <w:r>
              <w:t xml:space="preserve"> </w:t>
            </w:r>
            <w:r w:rsidRPr="00B47E2C">
              <w:rPr>
                <w:b/>
                <w:bCs/>
              </w:rPr>
              <w:t>Andrijevic Lj</w:t>
            </w:r>
            <w:r>
              <w:t xml:space="preserve">. </w:t>
            </w:r>
            <w:hyperlink r:id="rId6" w:history="1">
              <w:r w:rsidRPr="00E01008">
                <w:rPr>
                  <w:rStyle w:val="Hyperlink"/>
                </w:rPr>
                <w:t>Platelet indices in children with type 1 diabetes mellitus: a simple glucoregulation monitoring tool.</w:t>
              </w:r>
            </w:hyperlink>
            <w:r>
              <w:t xml:space="preserve">  </w:t>
            </w:r>
            <w:r w:rsidRPr="00E01008">
              <w:t>Afr Health Sci. 2023 Dec; 23(4):333</w:t>
            </w:r>
            <w:r>
              <w:t>-</w:t>
            </w:r>
            <w:r w:rsidRPr="00E01008">
              <w:t>8.</w:t>
            </w:r>
          </w:p>
        </w:tc>
        <w:tc>
          <w:tcPr>
            <w:tcW w:w="494" w:type="pct"/>
          </w:tcPr>
          <w:p w:rsidR="00B47E2C" w:rsidRDefault="00B47E2C" w:rsidP="00B47E2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47E2C" w:rsidRPr="009958C5" w:rsidRDefault="00B47E2C" w:rsidP="00B47E2C">
            <w:pPr>
              <w:ind w:right="65"/>
              <w:jc w:val="center"/>
            </w:pPr>
            <w:r w:rsidRPr="003C7909">
              <w:rPr>
                <w:color w:val="000000" w:themeColor="text1"/>
              </w:rPr>
              <w:t>140/167</w:t>
            </w:r>
          </w:p>
        </w:tc>
        <w:tc>
          <w:tcPr>
            <w:tcW w:w="375" w:type="pct"/>
          </w:tcPr>
          <w:p w:rsidR="00B47E2C" w:rsidRDefault="00B47E2C" w:rsidP="00B47E2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47E2C" w:rsidRDefault="00B47E2C" w:rsidP="00B47E2C">
            <w:pPr>
              <w:jc w:val="center"/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94" w:type="pct"/>
          </w:tcPr>
          <w:p w:rsidR="00B47E2C" w:rsidRDefault="00B47E2C" w:rsidP="00B47E2C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47E2C" w:rsidRDefault="00B47E2C" w:rsidP="00B47E2C">
            <w:pPr>
              <w:jc w:val="center"/>
            </w:pPr>
            <w:r>
              <w:rPr>
                <w:color w:val="000000" w:themeColor="text1"/>
              </w:rPr>
              <w:t>0.8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2</w:t>
            </w:r>
            <w:r w:rsidRPr="003F1BA0">
              <w:t>.</w:t>
            </w:r>
          </w:p>
        </w:tc>
        <w:tc>
          <w:tcPr>
            <w:tcW w:w="3465" w:type="pct"/>
            <w:gridSpan w:val="9"/>
          </w:tcPr>
          <w:p w:rsidR="00B47E2C" w:rsidRPr="00BF5501" w:rsidRDefault="00B47E2C" w:rsidP="00B47E2C">
            <w:pPr>
              <w:jc w:val="both"/>
            </w:pPr>
            <w:r>
              <w:t xml:space="preserve">Dobrijević D, Antić J, Rakić G, Katanić J, </w:t>
            </w:r>
            <w:r>
              <w:rPr>
                <w:b/>
              </w:rPr>
              <w:t xml:space="preserve">Andrijević Lj, </w:t>
            </w:r>
            <w:r>
              <w:t xml:space="preserve">Pastor K. </w:t>
            </w:r>
            <w:hyperlink r:id="rId7" w:history="1">
              <w:r w:rsidRPr="00BF5501">
                <w:rPr>
                  <w:rStyle w:val="Hyperlink"/>
                </w:rPr>
                <w:t>Clinical Hematochemical Parameters in Differential Diagnosis between Pediatric SARS-CoV-2 and Influenza Virus Infection: An Automated Machine Learning Approach</w:t>
              </w:r>
            </w:hyperlink>
            <w:r>
              <w:t>. Children-Basel. 2023;10(5):</w:t>
            </w:r>
            <w:r w:rsidRPr="00BF5501">
              <w:t>761</w:t>
            </w:r>
            <w:r>
              <w:t>.</w:t>
            </w:r>
          </w:p>
        </w:tc>
        <w:tc>
          <w:tcPr>
            <w:tcW w:w="494" w:type="pct"/>
            <w:vAlign w:val="center"/>
          </w:tcPr>
          <w:p w:rsidR="00B47E2C" w:rsidRPr="00F54D57" w:rsidRDefault="00B47E2C" w:rsidP="00B47E2C">
            <w:pPr>
              <w:ind w:right="65"/>
              <w:jc w:val="center"/>
            </w:pPr>
            <w:r w:rsidRPr="009958C5">
              <w:t>62/130</w:t>
            </w:r>
          </w:p>
        </w:tc>
        <w:tc>
          <w:tcPr>
            <w:tcW w:w="375" w:type="pct"/>
            <w:vAlign w:val="center"/>
          </w:tcPr>
          <w:p w:rsidR="00B47E2C" w:rsidRDefault="00B47E2C" w:rsidP="00B47E2C">
            <w:pPr>
              <w:jc w:val="center"/>
            </w:pPr>
            <w:r>
              <w:t>22</w:t>
            </w:r>
          </w:p>
        </w:tc>
        <w:tc>
          <w:tcPr>
            <w:tcW w:w="394" w:type="pct"/>
            <w:vAlign w:val="center"/>
          </w:tcPr>
          <w:p w:rsidR="00B47E2C" w:rsidRPr="00F54D57" w:rsidRDefault="00B47E2C" w:rsidP="00B47E2C">
            <w:pPr>
              <w:jc w:val="center"/>
            </w:pPr>
            <w:r>
              <w:t>2.0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3</w:t>
            </w:r>
            <w:r w:rsidRPr="003F1BA0">
              <w:t>.</w:t>
            </w:r>
          </w:p>
        </w:tc>
        <w:tc>
          <w:tcPr>
            <w:tcW w:w="3465" w:type="pct"/>
            <w:gridSpan w:val="9"/>
          </w:tcPr>
          <w:p w:rsidR="00B47E2C" w:rsidRDefault="00B47E2C" w:rsidP="00B47E2C">
            <w:pPr>
              <w:jc w:val="both"/>
            </w:pPr>
            <w:r w:rsidRPr="00F54D57">
              <w:t xml:space="preserve">Rakić G, Dobrijević D, Uram-Benka A, Antić J, Uram-Dubovski J, </w:t>
            </w:r>
            <w:r w:rsidRPr="00BF5501">
              <w:rPr>
                <w:b/>
              </w:rPr>
              <w:t>Andrijević Lj</w:t>
            </w:r>
            <w:r w:rsidRPr="00F54D57">
              <w:t xml:space="preserve">, </w:t>
            </w:r>
            <w:r>
              <w:t>et al</w:t>
            </w:r>
            <w:r w:rsidRPr="00F54D57">
              <w:t xml:space="preserve">. </w:t>
            </w:r>
            <w:hyperlink r:id="rId8" w:history="1">
              <w:r w:rsidRPr="00F54D57">
                <w:rPr>
                  <w:rStyle w:val="Hyperlink"/>
                </w:rPr>
                <w:t>Do Delivery Mode and Anesthesia Management Alter Redox Setting in Neonates?</w:t>
              </w:r>
            </w:hyperlink>
            <w:r w:rsidRPr="00F54D57">
              <w:t xml:space="preserve"> Z</w:t>
            </w:r>
            <w:r>
              <w:t xml:space="preserve"> Geburtshilfe Neonatol. 2023;227(4):281-86.</w:t>
            </w:r>
          </w:p>
        </w:tc>
        <w:tc>
          <w:tcPr>
            <w:tcW w:w="494" w:type="pct"/>
            <w:vAlign w:val="center"/>
          </w:tcPr>
          <w:p w:rsidR="00B47E2C" w:rsidRDefault="00B47E2C" w:rsidP="00B47E2C">
            <w:pPr>
              <w:ind w:right="65"/>
              <w:jc w:val="center"/>
            </w:pPr>
            <w:r w:rsidRPr="00305CD6">
              <w:t>82/85</w:t>
            </w:r>
          </w:p>
        </w:tc>
        <w:tc>
          <w:tcPr>
            <w:tcW w:w="375" w:type="pct"/>
            <w:vAlign w:val="center"/>
          </w:tcPr>
          <w:p w:rsidR="00B47E2C" w:rsidRDefault="00B47E2C" w:rsidP="00B47E2C">
            <w:pPr>
              <w:jc w:val="center"/>
            </w:pPr>
            <w:r>
              <w:t>23</w:t>
            </w:r>
          </w:p>
        </w:tc>
        <w:tc>
          <w:tcPr>
            <w:tcW w:w="394" w:type="pct"/>
            <w:vAlign w:val="center"/>
          </w:tcPr>
          <w:p w:rsidR="00B47E2C" w:rsidRDefault="00B47E2C" w:rsidP="00B47E2C">
            <w:pPr>
              <w:jc w:val="center"/>
            </w:pPr>
            <w:r w:rsidRPr="00F54D57">
              <w:t>0.7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4</w:t>
            </w:r>
            <w:r w:rsidRPr="003F1BA0">
              <w:t>.</w:t>
            </w:r>
          </w:p>
        </w:tc>
        <w:tc>
          <w:tcPr>
            <w:tcW w:w="3465" w:type="pct"/>
            <w:gridSpan w:val="9"/>
          </w:tcPr>
          <w:p w:rsidR="00B47E2C" w:rsidRDefault="00B47E2C" w:rsidP="00B47E2C">
            <w:pPr>
              <w:jc w:val="both"/>
            </w:pPr>
            <w:r>
              <w:t xml:space="preserve">Dobrijević D, </w:t>
            </w:r>
            <w:r w:rsidRPr="00E61FA7">
              <w:rPr>
                <w:b/>
              </w:rPr>
              <w:t>Andrijević Lj</w:t>
            </w:r>
            <w:r>
              <w:t xml:space="preserve">, Antić J, Rakić G, Pastor K. </w:t>
            </w:r>
            <w:hyperlink r:id="rId9" w:history="1">
              <w:r w:rsidRPr="00DE5010">
                <w:rPr>
                  <w:rStyle w:val="Hyperlink"/>
                </w:rPr>
                <w:t>Hemogram-based decision tree models for discriminating COVID-19 from RSV in infants</w:t>
              </w:r>
            </w:hyperlink>
            <w:r>
              <w:t>. J Clin Lab Anal. 2023 Mar 27:e24862.</w:t>
            </w:r>
          </w:p>
        </w:tc>
        <w:tc>
          <w:tcPr>
            <w:tcW w:w="494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531"/>
            </w:tblGrid>
            <w:tr w:rsidR="00B47E2C" w:rsidRPr="00305CD6" w:rsidTr="00305C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7E2C" w:rsidRPr="00305CD6" w:rsidRDefault="00B47E2C" w:rsidP="00B47E2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E2C" w:rsidRPr="00305CD6" w:rsidRDefault="00B47E2C" w:rsidP="00B47E2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305CD6">
                    <w:rPr>
                      <w:rFonts w:eastAsia="Times New Roman"/>
                      <w:lang w:val="en-US" w:eastAsia="en-US"/>
                    </w:rPr>
                    <w:t>14/27</w:t>
                  </w:r>
                </w:p>
              </w:tc>
            </w:tr>
          </w:tbl>
          <w:p w:rsidR="00B47E2C" w:rsidRDefault="00B47E2C" w:rsidP="00B47E2C">
            <w:pPr>
              <w:ind w:right="65"/>
              <w:jc w:val="center"/>
            </w:pPr>
          </w:p>
        </w:tc>
        <w:tc>
          <w:tcPr>
            <w:tcW w:w="375" w:type="pct"/>
            <w:vAlign w:val="center"/>
          </w:tcPr>
          <w:p w:rsidR="00B47E2C" w:rsidRDefault="00B47E2C" w:rsidP="00B47E2C">
            <w:pPr>
              <w:jc w:val="center"/>
            </w:pPr>
            <w:r>
              <w:t>22</w:t>
            </w:r>
          </w:p>
        </w:tc>
        <w:tc>
          <w:tcPr>
            <w:tcW w:w="394" w:type="pct"/>
            <w:vAlign w:val="center"/>
          </w:tcPr>
          <w:p w:rsidR="00B47E2C" w:rsidRDefault="00B47E2C" w:rsidP="00B47E2C">
            <w:pPr>
              <w:jc w:val="center"/>
            </w:pPr>
            <w:r w:rsidRPr="00305CD6">
              <w:t>2.6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5.</w:t>
            </w:r>
          </w:p>
        </w:tc>
        <w:tc>
          <w:tcPr>
            <w:tcW w:w="3465" w:type="pct"/>
            <w:gridSpan w:val="9"/>
          </w:tcPr>
          <w:p w:rsidR="00B47E2C" w:rsidRDefault="00B47E2C" w:rsidP="00B47E2C">
            <w:pPr>
              <w:jc w:val="both"/>
            </w:pPr>
            <w:r>
              <w:t xml:space="preserve">Bajić D, Matijašević J, </w:t>
            </w:r>
            <w:r w:rsidRPr="00DE5010">
              <w:rPr>
                <w:b/>
              </w:rPr>
              <w:t>Andrijević Lj</w:t>
            </w:r>
            <w:r>
              <w:t xml:space="preserve">, Zarić B, Lalić-Popović M, Andrijević I, et al. </w:t>
            </w:r>
            <w:hyperlink r:id="rId10" w:history="1">
              <w:r w:rsidRPr="00DE5010">
                <w:rPr>
                  <w:rStyle w:val="Hyperlink"/>
                </w:rPr>
                <w:t xml:space="preserve">Prognostic Role of Monocyte Distribution Width, CRP, Procalcitonin and </w:t>
              </w:r>
              <w:r w:rsidRPr="00DE5010">
                <w:rPr>
                  <w:rStyle w:val="Hyperlink"/>
                </w:rPr>
                <w:lastRenderedPageBreak/>
                <w:t>Lactate as Sepsis Biomarkers in Critically Ill COVID-19 Patients</w:t>
              </w:r>
            </w:hyperlink>
            <w:r>
              <w:t>. J Clin Med. 2023 Feb 2;12(3):1197.</w:t>
            </w:r>
          </w:p>
        </w:tc>
        <w:tc>
          <w:tcPr>
            <w:tcW w:w="494" w:type="pct"/>
            <w:vAlign w:val="center"/>
          </w:tcPr>
          <w:p w:rsidR="00B47E2C" w:rsidRDefault="00B47E2C" w:rsidP="00B47E2C">
            <w:pPr>
              <w:ind w:right="65"/>
              <w:jc w:val="center"/>
            </w:pPr>
            <w:r w:rsidRPr="00305CD6">
              <w:lastRenderedPageBreak/>
              <w:t>58/167</w:t>
            </w:r>
          </w:p>
        </w:tc>
        <w:tc>
          <w:tcPr>
            <w:tcW w:w="375" w:type="pct"/>
            <w:vAlign w:val="center"/>
          </w:tcPr>
          <w:p w:rsidR="00B47E2C" w:rsidRDefault="00B47E2C" w:rsidP="00B47E2C">
            <w:pPr>
              <w:jc w:val="center"/>
            </w:pPr>
            <w:r>
              <w:t>22</w:t>
            </w:r>
          </w:p>
        </w:tc>
        <w:tc>
          <w:tcPr>
            <w:tcW w:w="394" w:type="pct"/>
            <w:vAlign w:val="center"/>
          </w:tcPr>
          <w:p w:rsidR="00B47E2C" w:rsidRDefault="00B47E2C" w:rsidP="00B47E2C">
            <w:pPr>
              <w:jc w:val="center"/>
            </w:pPr>
            <w:r>
              <w:t>3.0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65" w:type="pct"/>
            <w:gridSpan w:val="9"/>
          </w:tcPr>
          <w:p w:rsidR="00B47E2C" w:rsidRDefault="00B47E2C" w:rsidP="00B47E2C">
            <w:pPr>
              <w:jc w:val="both"/>
            </w:pPr>
            <w:r>
              <w:t xml:space="preserve">Dobrijević D, Antić J, Rakić G, </w:t>
            </w:r>
            <w:r w:rsidRPr="00BF19B5">
              <w:rPr>
                <w:b/>
              </w:rPr>
              <w:t>Andrijević Lj</w:t>
            </w:r>
            <w:r>
              <w:t xml:space="preserve">, Katanić J, Pastor K. </w:t>
            </w:r>
            <w:hyperlink r:id="rId11" w:history="1">
              <w:r w:rsidRPr="00BF19B5">
                <w:rPr>
                  <w:rStyle w:val="Hyperlink"/>
                </w:rPr>
                <w:t>Could platelet indices have diagnostic properties in children with COVID-19?</w:t>
              </w:r>
            </w:hyperlink>
            <w:r>
              <w:t xml:space="preserve"> J Clin Lab Anal. 2022 Nov 13:e24749.</w:t>
            </w:r>
          </w:p>
        </w:tc>
        <w:tc>
          <w:tcPr>
            <w:tcW w:w="494" w:type="pct"/>
            <w:vAlign w:val="center"/>
          </w:tcPr>
          <w:p w:rsidR="00B47E2C" w:rsidRDefault="00B47E2C" w:rsidP="00B47E2C">
            <w:pPr>
              <w:ind w:right="65"/>
              <w:jc w:val="center"/>
            </w:pPr>
            <w:r w:rsidRPr="006617B0">
              <w:t>12/29</w:t>
            </w:r>
          </w:p>
        </w:tc>
        <w:tc>
          <w:tcPr>
            <w:tcW w:w="375" w:type="pct"/>
            <w:vAlign w:val="center"/>
          </w:tcPr>
          <w:p w:rsidR="00B47E2C" w:rsidRDefault="00B47E2C" w:rsidP="00B47E2C">
            <w:pPr>
              <w:jc w:val="center"/>
            </w:pPr>
            <w:r>
              <w:t>22</w:t>
            </w:r>
          </w:p>
        </w:tc>
        <w:tc>
          <w:tcPr>
            <w:tcW w:w="394" w:type="pct"/>
            <w:vAlign w:val="center"/>
          </w:tcPr>
          <w:p w:rsidR="00B47E2C" w:rsidRDefault="00B47E2C" w:rsidP="00B47E2C">
            <w:pPr>
              <w:jc w:val="center"/>
            </w:pPr>
            <w:r>
              <w:t>2.7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7.</w:t>
            </w:r>
          </w:p>
        </w:tc>
        <w:tc>
          <w:tcPr>
            <w:tcW w:w="3465" w:type="pct"/>
            <w:gridSpan w:val="9"/>
          </w:tcPr>
          <w:p w:rsidR="00B47E2C" w:rsidRDefault="00B47E2C" w:rsidP="00B47E2C">
            <w:pPr>
              <w:jc w:val="both"/>
            </w:pPr>
            <w:r>
              <w:t xml:space="preserve">Lalić-Popović M, Švonja Parezanović G, Todorović N, Zeković Z, Pavlić B, et al... </w:t>
            </w:r>
            <w:r w:rsidRPr="00FB0558">
              <w:rPr>
                <w:b/>
              </w:rPr>
              <w:t>Andrijević L</w:t>
            </w:r>
            <w:r w:rsidRPr="00BF5501">
              <w:rPr>
                <w:b/>
              </w:rPr>
              <w:t>ј</w:t>
            </w:r>
            <w:r>
              <w:t xml:space="preserve">. </w:t>
            </w:r>
            <w:hyperlink r:id="rId12" w:history="1">
              <w:r w:rsidRPr="00FB0558">
                <w:rPr>
                  <w:rStyle w:val="Hyperlink"/>
                </w:rPr>
                <w:t>The Effect of Humidity on the Dissolution Kinetics and Tablet Properties of Immediate-Release Tablet Formulation Containing Lamotrigine</w:t>
              </w:r>
            </w:hyperlink>
            <w:r>
              <w:t xml:space="preserve">. </w:t>
            </w:r>
            <w:r w:rsidRPr="00FB0558">
              <w:rPr>
                <w:rStyle w:val="Emphasis"/>
                <w:i w:val="0"/>
              </w:rPr>
              <w:t>Pharmaceutics</w:t>
            </w:r>
            <w:r>
              <w:t>. 2022; 14(10):2096.</w:t>
            </w:r>
          </w:p>
        </w:tc>
        <w:tc>
          <w:tcPr>
            <w:tcW w:w="494" w:type="pct"/>
            <w:vAlign w:val="center"/>
          </w:tcPr>
          <w:p w:rsidR="00B47E2C" w:rsidRDefault="00B47E2C" w:rsidP="00B47E2C">
            <w:pPr>
              <w:ind w:right="65"/>
              <w:jc w:val="center"/>
            </w:pPr>
            <w:r w:rsidRPr="00762158">
              <w:t>50/278</w:t>
            </w:r>
          </w:p>
        </w:tc>
        <w:tc>
          <w:tcPr>
            <w:tcW w:w="375" w:type="pct"/>
            <w:vAlign w:val="center"/>
          </w:tcPr>
          <w:p w:rsidR="00B47E2C" w:rsidRDefault="00B47E2C" w:rsidP="00B47E2C">
            <w:pPr>
              <w:jc w:val="center"/>
            </w:pPr>
            <w:r>
              <w:t>21</w:t>
            </w:r>
          </w:p>
        </w:tc>
        <w:tc>
          <w:tcPr>
            <w:tcW w:w="394" w:type="pct"/>
            <w:vAlign w:val="center"/>
          </w:tcPr>
          <w:p w:rsidR="00B47E2C" w:rsidRDefault="00B47E2C" w:rsidP="00B47E2C">
            <w:pPr>
              <w:jc w:val="center"/>
            </w:pPr>
            <w:r>
              <w:t>5.4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8.</w:t>
            </w:r>
          </w:p>
        </w:tc>
        <w:tc>
          <w:tcPr>
            <w:tcW w:w="3465" w:type="pct"/>
            <w:gridSpan w:val="9"/>
          </w:tcPr>
          <w:p w:rsidR="00B47E2C" w:rsidRPr="003F1BA0" w:rsidRDefault="00B47E2C" w:rsidP="00B47E2C">
            <w:pPr>
              <w:jc w:val="both"/>
              <w:rPr>
                <w:b/>
              </w:rPr>
            </w:pPr>
            <w:r>
              <w:t xml:space="preserve">Anđić M, Draginić N, Kočović A, Jeremić J, Vučićević K, </w:t>
            </w:r>
            <w:r w:rsidR="007C2D6E">
              <w:t xml:space="preserve">... </w:t>
            </w:r>
            <w:r w:rsidRPr="0064153A">
              <w:rPr>
                <w:b/>
              </w:rPr>
              <w:t xml:space="preserve">Andrijević </w:t>
            </w:r>
            <w:r w:rsidRPr="00BF5501">
              <w:rPr>
                <w:b/>
              </w:rPr>
              <w:t>Lj</w:t>
            </w:r>
            <w:r>
              <w:t xml:space="preserve">, </w:t>
            </w:r>
            <w:hyperlink r:id="rId13" w:history="1">
              <w:r w:rsidRPr="0064153A">
                <w:rPr>
                  <w:rStyle w:val="Hyperlink"/>
                </w:rPr>
                <w:t>Immortelle essential oil-based ointment improves wound healing in a diabetic rat model</w:t>
              </w:r>
            </w:hyperlink>
            <w:r>
              <w:t>. Biomed Pharmacother. 2022 Jun;150:112941.</w:t>
            </w:r>
          </w:p>
        </w:tc>
        <w:tc>
          <w:tcPr>
            <w:tcW w:w="494" w:type="pct"/>
            <w:vAlign w:val="center"/>
          </w:tcPr>
          <w:p w:rsidR="00B47E2C" w:rsidRPr="003F1BA0" w:rsidRDefault="00B47E2C" w:rsidP="00B47E2C">
            <w:pPr>
              <w:ind w:right="65"/>
              <w:jc w:val="center"/>
            </w:pPr>
            <w:r w:rsidRPr="00CD4884">
              <w:t>22/278</w:t>
            </w:r>
          </w:p>
        </w:tc>
        <w:tc>
          <w:tcPr>
            <w:tcW w:w="375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21a</w:t>
            </w:r>
          </w:p>
        </w:tc>
        <w:tc>
          <w:tcPr>
            <w:tcW w:w="394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7.5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9.</w:t>
            </w:r>
          </w:p>
        </w:tc>
        <w:tc>
          <w:tcPr>
            <w:tcW w:w="3465" w:type="pct"/>
            <w:gridSpan w:val="9"/>
          </w:tcPr>
          <w:p w:rsidR="00B47E2C" w:rsidRPr="003F1BA0" w:rsidRDefault="00B47E2C" w:rsidP="00B47E2C">
            <w:pPr>
              <w:jc w:val="both"/>
            </w:pPr>
            <w:r>
              <w:rPr>
                <w:b/>
              </w:rPr>
              <w:t>Andrijević</w:t>
            </w:r>
            <w:r w:rsidRPr="003F1BA0">
              <w:rPr>
                <w:b/>
              </w:rPr>
              <w:t xml:space="preserve"> Lj</w:t>
            </w:r>
            <w:r w:rsidRPr="003F1BA0">
              <w:t xml:space="preserve">, Milutinov S, </w:t>
            </w:r>
            <w:r w:rsidRPr="00591888">
              <w:t>Andrijevic I,</w:t>
            </w:r>
            <w:r w:rsidRPr="003F1BA0">
              <w:t xml:space="preserve"> Jokic D, Vukoja M</w:t>
            </w:r>
            <w:hyperlink r:id="rId14" w:history="1">
              <w:r w:rsidRPr="003F1BA0">
                <w:rPr>
                  <w:rStyle w:val="Hyperlink"/>
                </w:rPr>
                <w:t>. Association between the inflammatory biomarkers and left ventricular systolic dysfunction in patients with exacerbations of chronic obstructive pulmonary disease.</w:t>
              </w:r>
            </w:hyperlink>
            <w:r w:rsidRPr="003F1BA0">
              <w:t xml:space="preserve"> Balkan Med J. 2017;34(3):226-31.</w:t>
            </w:r>
          </w:p>
        </w:tc>
        <w:tc>
          <w:tcPr>
            <w:tcW w:w="494" w:type="pct"/>
            <w:vAlign w:val="center"/>
          </w:tcPr>
          <w:p w:rsidR="00B47E2C" w:rsidRPr="003F1BA0" w:rsidRDefault="00B47E2C" w:rsidP="00B47E2C">
            <w:pPr>
              <w:ind w:right="65"/>
              <w:jc w:val="center"/>
            </w:pPr>
            <w:r w:rsidRPr="003F1BA0">
              <w:t>109/154</w:t>
            </w:r>
          </w:p>
        </w:tc>
        <w:tc>
          <w:tcPr>
            <w:tcW w:w="375" w:type="pct"/>
            <w:vAlign w:val="center"/>
          </w:tcPr>
          <w:p w:rsidR="00B47E2C" w:rsidRPr="003F1BA0" w:rsidRDefault="00B47E2C" w:rsidP="00B47E2C">
            <w:pPr>
              <w:jc w:val="center"/>
            </w:pPr>
            <w:r w:rsidRPr="003F1BA0">
              <w:t>23</w:t>
            </w:r>
          </w:p>
        </w:tc>
        <w:tc>
          <w:tcPr>
            <w:tcW w:w="394" w:type="pct"/>
            <w:vAlign w:val="center"/>
          </w:tcPr>
          <w:p w:rsidR="00B47E2C" w:rsidRPr="003F1BA0" w:rsidRDefault="00B47E2C" w:rsidP="00B47E2C">
            <w:pPr>
              <w:jc w:val="center"/>
            </w:pPr>
            <w:r w:rsidRPr="003F1BA0">
              <w:t>0.887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10.</w:t>
            </w:r>
          </w:p>
        </w:tc>
        <w:tc>
          <w:tcPr>
            <w:tcW w:w="3465" w:type="pct"/>
            <w:gridSpan w:val="9"/>
          </w:tcPr>
          <w:p w:rsidR="00B47E2C" w:rsidRPr="003F1BA0" w:rsidRDefault="00B47E2C" w:rsidP="00B47E2C">
            <w:pPr>
              <w:jc w:val="both"/>
            </w:pPr>
            <w:r w:rsidRPr="003F1BA0">
              <w:t>Milutinović D, Andrijević I, Ličina M</w:t>
            </w:r>
            <w:r w:rsidRPr="003F1BA0">
              <w:rPr>
                <w:b/>
              </w:rPr>
              <w:t>, Andrijević Lj</w:t>
            </w:r>
            <w:r w:rsidRPr="003F1BA0">
              <w:t xml:space="preserve">. </w:t>
            </w:r>
            <w:hyperlink r:id="rId15" w:history="1">
              <w:r w:rsidRPr="003F1BA0">
                <w:rPr>
                  <w:rStyle w:val="Hyperlink"/>
                </w:rPr>
                <w:t>Confidence level in venipuncture and knowledge on causes of in vitro hemolysis among healthcare professionals</w:t>
              </w:r>
            </w:hyperlink>
            <w:r w:rsidRPr="003F1BA0">
              <w:t>. Biochem Med. 2015;25(3):401</w:t>
            </w:r>
            <w:r w:rsidRPr="003F1BA0">
              <w:sym w:font="Symbol" w:char="F02D"/>
            </w:r>
            <w:r w:rsidRPr="003F1BA0">
              <w:t>9.</w:t>
            </w:r>
          </w:p>
        </w:tc>
        <w:tc>
          <w:tcPr>
            <w:tcW w:w="494" w:type="pct"/>
            <w:vAlign w:val="center"/>
          </w:tcPr>
          <w:p w:rsidR="00B47E2C" w:rsidRPr="003F1BA0" w:rsidRDefault="00B47E2C" w:rsidP="00B47E2C">
            <w:pPr>
              <w:ind w:right="65"/>
              <w:jc w:val="center"/>
            </w:pPr>
            <w:r w:rsidRPr="003F1BA0">
              <w:t>4/30</w:t>
            </w:r>
          </w:p>
        </w:tc>
        <w:tc>
          <w:tcPr>
            <w:tcW w:w="375" w:type="pct"/>
            <w:vAlign w:val="center"/>
          </w:tcPr>
          <w:p w:rsidR="00B47E2C" w:rsidRPr="003F1BA0" w:rsidRDefault="00B47E2C" w:rsidP="00B47E2C">
            <w:pPr>
              <w:jc w:val="center"/>
            </w:pPr>
            <w:r w:rsidRPr="003F1BA0">
              <w:t>21</w:t>
            </w:r>
          </w:p>
        </w:tc>
        <w:tc>
          <w:tcPr>
            <w:tcW w:w="394" w:type="pct"/>
            <w:vAlign w:val="center"/>
          </w:tcPr>
          <w:p w:rsidR="00B47E2C" w:rsidRPr="003F1BA0" w:rsidRDefault="00B47E2C" w:rsidP="00B47E2C">
            <w:pPr>
              <w:jc w:val="center"/>
            </w:pPr>
            <w:r w:rsidRPr="003F1BA0">
              <w:t>3.051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72" w:type="pct"/>
            <w:vAlign w:val="center"/>
          </w:tcPr>
          <w:p w:rsidR="00B47E2C" w:rsidRPr="003F1BA0" w:rsidRDefault="00B47E2C" w:rsidP="00B47E2C">
            <w:pPr>
              <w:jc w:val="center"/>
            </w:pPr>
            <w:r>
              <w:t>11.</w:t>
            </w:r>
          </w:p>
        </w:tc>
        <w:tc>
          <w:tcPr>
            <w:tcW w:w="3465" w:type="pct"/>
            <w:gridSpan w:val="9"/>
          </w:tcPr>
          <w:p w:rsidR="00B47E2C" w:rsidRPr="003F1BA0" w:rsidRDefault="00B47E2C" w:rsidP="00B47E2C">
            <w:pPr>
              <w:jc w:val="both"/>
            </w:pPr>
            <w:r w:rsidRPr="003F1BA0">
              <w:rPr>
                <w:color w:val="000000"/>
                <w:shd w:val="clear" w:color="auto" w:fill="FFFFFF"/>
              </w:rPr>
              <w:t xml:space="preserve">Andrijevic I, Matijasevic J, </w:t>
            </w:r>
            <w:r w:rsidRPr="003F1BA0">
              <w:rPr>
                <w:b/>
                <w:color w:val="000000"/>
                <w:shd w:val="clear" w:color="auto" w:fill="FFFFFF"/>
              </w:rPr>
              <w:t>Andrijevic Lj</w:t>
            </w:r>
            <w:r w:rsidRPr="003F1BA0">
              <w:rPr>
                <w:color w:val="000000"/>
                <w:shd w:val="clear" w:color="auto" w:fill="FFFFFF"/>
              </w:rPr>
              <w:t>, Kovacevic T,</w:t>
            </w:r>
            <w:r w:rsidRPr="003F1BA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F1BA0">
              <w:rPr>
                <w:bCs/>
                <w:color w:val="000000"/>
                <w:shd w:val="clear" w:color="auto" w:fill="FFFFFF"/>
              </w:rPr>
              <w:t>Zaric B</w:t>
            </w:r>
            <w:r w:rsidRPr="003F1BA0">
              <w:rPr>
                <w:color w:val="000000"/>
                <w:shd w:val="clear" w:color="auto" w:fill="FFFFFF"/>
              </w:rPr>
              <w:t>.</w:t>
            </w:r>
            <w:r w:rsidRPr="003F1BA0">
              <w:t xml:space="preserve"> </w:t>
            </w:r>
            <w:hyperlink r:id="rId16" w:history="1">
              <w:r w:rsidRPr="003F1BA0">
                <w:rPr>
                  <w:rStyle w:val="Hyperlink"/>
                  <w:shd w:val="clear" w:color="auto" w:fill="FFFFFF"/>
                </w:rPr>
                <w:t>Interleukin-6 and procalcitonin as biomarkers in mortality prediction of hospitalized patients with community acquired pneumonia</w:t>
              </w:r>
            </w:hyperlink>
            <w:r w:rsidRPr="003F1BA0">
              <w:rPr>
                <w:color w:val="000000"/>
                <w:shd w:val="clear" w:color="auto" w:fill="FFFFFF"/>
              </w:rPr>
              <w:t>.</w:t>
            </w:r>
            <w:r w:rsidRPr="003F1BA0">
              <w:t xml:space="preserve"> </w:t>
            </w:r>
            <w:r w:rsidRPr="003F1BA0">
              <w:rPr>
                <w:color w:val="000000"/>
                <w:shd w:val="clear" w:color="auto" w:fill="FFFFFF"/>
              </w:rPr>
              <w:t>Ann Thorac Med. 2014;9(3):162-7.</w:t>
            </w:r>
          </w:p>
        </w:tc>
        <w:tc>
          <w:tcPr>
            <w:tcW w:w="494" w:type="pct"/>
            <w:vAlign w:val="center"/>
          </w:tcPr>
          <w:p w:rsidR="00B47E2C" w:rsidRPr="003F1BA0" w:rsidRDefault="00B47E2C" w:rsidP="00B47E2C">
            <w:pPr>
              <w:jc w:val="center"/>
            </w:pPr>
            <w:r w:rsidRPr="003F1BA0">
              <w:t>73/123</w:t>
            </w:r>
          </w:p>
        </w:tc>
        <w:tc>
          <w:tcPr>
            <w:tcW w:w="375" w:type="pct"/>
            <w:vAlign w:val="center"/>
          </w:tcPr>
          <w:p w:rsidR="00B47E2C" w:rsidRPr="003F1BA0" w:rsidRDefault="00B47E2C" w:rsidP="00B47E2C">
            <w:pPr>
              <w:jc w:val="center"/>
            </w:pPr>
            <w:r w:rsidRPr="003F1BA0">
              <w:t>22</w:t>
            </w:r>
          </w:p>
        </w:tc>
        <w:tc>
          <w:tcPr>
            <w:tcW w:w="394" w:type="pct"/>
            <w:vAlign w:val="center"/>
          </w:tcPr>
          <w:p w:rsidR="00B47E2C" w:rsidRPr="003F1BA0" w:rsidRDefault="00B47E2C" w:rsidP="00B47E2C">
            <w:pPr>
              <w:jc w:val="center"/>
            </w:pPr>
            <w:r w:rsidRPr="003F1BA0">
              <w:t>1</w:t>
            </w:r>
            <w:r>
              <w:t>.</w:t>
            </w:r>
            <w:r w:rsidRPr="003F1BA0">
              <w:t>803</w:t>
            </w:r>
          </w:p>
        </w:tc>
      </w:tr>
      <w:tr w:rsidR="00B47E2C" w:rsidRPr="000B66B6" w:rsidTr="00C8369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47E2C" w:rsidRPr="000B66B6" w:rsidRDefault="00B47E2C" w:rsidP="00B47E2C">
            <w:pPr>
              <w:spacing w:after="60"/>
              <w:rPr>
                <w:b/>
                <w:lang w:val="sr-Cyrl-CS"/>
              </w:rPr>
            </w:pPr>
            <w:r w:rsidRPr="000B66B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464" w:type="pct"/>
            <w:gridSpan w:val="5"/>
            <w:vAlign w:val="center"/>
          </w:tcPr>
          <w:p w:rsidR="00B47E2C" w:rsidRPr="000B66B6" w:rsidRDefault="00B47E2C" w:rsidP="00B47E2C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536" w:type="pct"/>
            <w:gridSpan w:val="8"/>
          </w:tcPr>
          <w:p w:rsidR="00B47E2C" w:rsidRPr="000B66B6" w:rsidRDefault="00B47E2C" w:rsidP="00B47E2C">
            <w:r>
              <w:t>151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464" w:type="pct"/>
            <w:gridSpan w:val="5"/>
            <w:vAlign w:val="center"/>
          </w:tcPr>
          <w:p w:rsidR="00B47E2C" w:rsidRPr="000B66B6" w:rsidRDefault="00B47E2C" w:rsidP="00B47E2C">
            <w:pPr>
              <w:spacing w:after="60"/>
              <w:rPr>
                <w:lang w:val="sr-Cyrl-CS"/>
              </w:rPr>
            </w:pPr>
            <w:r w:rsidRPr="000B66B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536" w:type="pct"/>
            <w:gridSpan w:val="8"/>
          </w:tcPr>
          <w:p w:rsidR="00B47E2C" w:rsidRPr="000B66B6" w:rsidRDefault="00B47E2C" w:rsidP="00B47E2C">
            <w:r>
              <w:t>1</w:t>
            </w:r>
            <w:r w:rsidR="000156AD">
              <w:t>5</w:t>
            </w:r>
          </w:p>
        </w:tc>
      </w:tr>
      <w:tr w:rsidR="00B47E2C" w:rsidRPr="000B66B6" w:rsidTr="00BF19B5">
        <w:trPr>
          <w:trHeight w:val="227"/>
          <w:jc w:val="center"/>
        </w:trPr>
        <w:tc>
          <w:tcPr>
            <w:tcW w:w="2464" w:type="pct"/>
            <w:gridSpan w:val="5"/>
            <w:vAlign w:val="center"/>
          </w:tcPr>
          <w:p w:rsidR="00B47E2C" w:rsidRPr="000B66B6" w:rsidRDefault="00B47E2C" w:rsidP="00B47E2C">
            <w:pPr>
              <w:spacing w:after="60"/>
              <w:rPr>
                <w:b/>
                <w:lang w:val="sr-Cyrl-CS"/>
              </w:rPr>
            </w:pPr>
            <w:r w:rsidRPr="000B66B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01" w:type="pct"/>
            <w:gridSpan w:val="2"/>
            <w:vAlign w:val="center"/>
          </w:tcPr>
          <w:p w:rsidR="00B47E2C" w:rsidRPr="000B66B6" w:rsidRDefault="00B47E2C" w:rsidP="00B47E2C">
            <w:pPr>
              <w:spacing w:after="60"/>
              <w:rPr>
                <w:b/>
                <w:lang w:val="sr-Cyrl-CS"/>
              </w:rPr>
            </w:pPr>
            <w:r w:rsidRPr="000B66B6">
              <w:rPr>
                <w:lang w:val="sr-Cyrl-CS"/>
              </w:rPr>
              <w:t>Домаћи</w:t>
            </w:r>
          </w:p>
        </w:tc>
        <w:tc>
          <w:tcPr>
            <w:tcW w:w="1935" w:type="pct"/>
            <w:gridSpan w:val="6"/>
            <w:vAlign w:val="center"/>
          </w:tcPr>
          <w:p w:rsidR="00B47E2C" w:rsidRPr="000B66B6" w:rsidRDefault="00B47E2C" w:rsidP="00B47E2C">
            <w:pPr>
              <w:spacing w:after="60"/>
              <w:rPr>
                <w:b/>
                <w:lang w:val="sr-Cyrl-CS"/>
              </w:rPr>
            </w:pPr>
            <w:r w:rsidRPr="000B66B6">
              <w:rPr>
                <w:lang w:val="sr-Cyrl-CS"/>
              </w:rPr>
              <w:t>Међународни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464" w:type="pct"/>
            <w:gridSpan w:val="5"/>
            <w:vAlign w:val="center"/>
          </w:tcPr>
          <w:p w:rsidR="00B47E2C" w:rsidRPr="000B66B6" w:rsidRDefault="00B47E2C" w:rsidP="00B47E2C">
            <w:pPr>
              <w:spacing w:after="60"/>
              <w:rPr>
                <w:b/>
                <w:lang w:val="sr-Cyrl-CS"/>
              </w:rPr>
            </w:pPr>
            <w:r w:rsidRPr="000B66B6">
              <w:rPr>
                <w:lang w:val="sr-Cyrl-CS"/>
              </w:rPr>
              <w:t>Усавршавања</w:t>
            </w:r>
          </w:p>
        </w:tc>
        <w:tc>
          <w:tcPr>
            <w:tcW w:w="2536" w:type="pct"/>
            <w:gridSpan w:val="8"/>
          </w:tcPr>
          <w:p w:rsidR="00B47E2C" w:rsidRPr="000B66B6" w:rsidRDefault="00B47E2C" w:rsidP="00B47E2C">
            <w:r w:rsidRPr="000B66B6">
              <w:t xml:space="preserve">Institut za Onkologiju </w:t>
            </w:r>
            <w:r w:rsidRPr="000B66B6">
              <w:rPr>
                <w:iCs/>
                <w:color w:val="333333"/>
                <w:shd w:val="clear" w:color="auto" w:fill="FFFFFF"/>
              </w:rPr>
              <w:t>Maria Sklodowska-Curie institute – Oncology Center Gliwice 2008 (Poland)</w:t>
            </w:r>
          </w:p>
        </w:tc>
      </w:tr>
      <w:tr w:rsidR="00B47E2C" w:rsidRPr="000B66B6" w:rsidTr="0064153A">
        <w:trPr>
          <w:trHeight w:val="227"/>
          <w:jc w:val="center"/>
        </w:trPr>
        <w:tc>
          <w:tcPr>
            <w:tcW w:w="2464" w:type="pct"/>
            <w:gridSpan w:val="5"/>
            <w:vAlign w:val="center"/>
          </w:tcPr>
          <w:p w:rsidR="00B47E2C" w:rsidRPr="000B66B6" w:rsidRDefault="00B47E2C" w:rsidP="00B47E2C">
            <w:pPr>
              <w:spacing w:after="60"/>
              <w:rPr>
                <w:b/>
                <w:lang w:val="sr-Cyrl-CS"/>
              </w:rPr>
            </w:pPr>
            <w:r w:rsidRPr="000B66B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536" w:type="pct"/>
            <w:gridSpan w:val="8"/>
          </w:tcPr>
          <w:p w:rsidR="00B47E2C" w:rsidRPr="000B66B6" w:rsidRDefault="00B47E2C" w:rsidP="00B47E2C">
            <w:r w:rsidRPr="000B66B6">
              <w:t>Уџбеник: Ćebović T, Andrijević Lj, Katanić J, Stojčević-Maletić J. (2014) Biohemija za studente Zdravstvene nege. Novi Sad: Medicinski fakultet, ISBN 978-86-7197-428-8</w:t>
            </w:r>
          </w:p>
          <w:p w:rsidR="00B47E2C" w:rsidRPr="000B66B6" w:rsidRDefault="00B47E2C" w:rsidP="00B47E2C">
            <w:pPr>
              <w:rPr>
                <w:lang w:val="sr-Cyrl-CS"/>
              </w:rPr>
            </w:pPr>
            <w:r w:rsidRPr="000B66B6">
              <w:t>Практикум: Borota J, Andrijević Lj. et al. (2013) Praktikum Medicinske biohemije i hemije. Novi Sad: Medicinski fakultet, ISBN 978-86-7197-349-6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156AD"/>
    <w:rsid w:val="00035FC9"/>
    <w:rsid w:val="0008493C"/>
    <w:rsid w:val="000B66B6"/>
    <w:rsid w:val="000F6026"/>
    <w:rsid w:val="001543AE"/>
    <w:rsid w:val="001C6058"/>
    <w:rsid w:val="001D0C84"/>
    <w:rsid w:val="00305CD6"/>
    <w:rsid w:val="003133C6"/>
    <w:rsid w:val="00385D4C"/>
    <w:rsid w:val="003F177B"/>
    <w:rsid w:val="003F1BA0"/>
    <w:rsid w:val="00433697"/>
    <w:rsid w:val="00506075"/>
    <w:rsid w:val="00591888"/>
    <w:rsid w:val="005B6DDC"/>
    <w:rsid w:val="0064153A"/>
    <w:rsid w:val="006617B0"/>
    <w:rsid w:val="006B46C5"/>
    <w:rsid w:val="00704375"/>
    <w:rsid w:val="00736C5A"/>
    <w:rsid w:val="00762158"/>
    <w:rsid w:val="0079046C"/>
    <w:rsid w:val="007C2D6E"/>
    <w:rsid w:val="007D4AC9"/>
    <w:rsid w:val="007E2C95"/>
    <w:rsid w:val="00874FA5"/>
    <w:rsid w:val="009958C5"/>
    <w:rsid w:val="0099745F"/>
    <w:rsid w:val="009A7403"/>
    <w:rsid w:val="00A82D2C"/>
    <w:rsid w:val="00A96A06"/>
    <w:rsid w:val="00B47E2C"/>
    <w:rsid w:val="00B62B2B"/>
    <w:rsid w:val="00BA2821"/>
    <w:rsid w:val="00BF16AF"/>
    <w:rsid w:val="00BF19B5"/>
    <w:rsid w:val="00BF5501"/>
    <w:rsid w:val="00C669CF"/>
    <w:rsid w:val="00C75BC2"/>
    <w:rsid w:val="00C83697"/>
    <w:rsid w:val="00CD4884"/>
    <w:rsid w:val="00CD5D0A"/>
    <w:rsid w:val="00D2532F"/>
    <w:rsid w:val="00DA78B3"/>
    <w:rsid w:val="00DC5220"/>
    <w:rsid w:val="00DC7E18"/>
    <w:rsid w:val="00DD35C7"/>
    <w:rsid w:val="00DE5010"/>
    <w:rsid w:val="00DF6554"/>
    <w:rsid w:val="00E50E33"/>
    <w:rsid w:val="00E61FA7"/>
    <w:rsid w:val="00E757DE"/>
    <w:rsid w:val="00E75A3A"/>
    <w:rsid w:val="00EF7B74"/>
    <w:rsid w:val="00F456A4"/>
    <w:rsid w:val="00F54D57"/>
    <w:rsid w:val="00F613A1"/>
    <w:rsid w:val="00FB0558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836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F1BA0"/>
  </w:style>
  <w:style w:type="paragraph" w:styleId="NormalWeb">
    <w:name w:val="Normal (Web)"/>
    <w:basedOn w:val="Normal"/>
    <w:uiPriority w:val="99"/>
    <w:rsid w:val="003F1B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9">
    <w:name w:val="rvts9"/>
    <w:basedOn w:val="DefaultParagraphFont"/>
    <w:rsid w:val="003F1BA0"/>
    <w:rPr>
      <w:rFonts w:ascii="Garamond" w:hAnsi="Garamond" w:hint="default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B05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7040871/" TargetMode="External"/><Relationship Id="rId13" Type="http://schemas.openxmlformats.org/officeDocument/2006/relationships/hyperlink" Target="https://reader.elsevier.com/reader/sd/pii/S0753332222003304?token=C2C27A97AFD1B92DBEDCD646298CFFE400E3755DEB25E5D37523D5736B94E60D88A3AFB33A1BD62C6345E5E3BDAADE55&amp;originRegion=eu-west-1&amp;originCreation=202208090714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dpi.com/2227-9067/10/5/761" TargetMode="External"/><Relationship Id="rId12" Type="http://schemas.openxmlformats.org/officeDocument/2006/relationships/hyperlink" Target="file:///C:\Users\milica.mircic\Downloads\pharmaceutics-14-02096-v2-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horacicmedicine.org/article.asp?issn=1817-1737;year=2014;volume=9;issue=3;spage=162;epage=167;aulast=Andrijev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1225493/" TargetMode="External"/><Relationship Id="rId11" Type="http://schemas.openxmlformats.org/officeDocument/2006/relationships/hyperlink" Target="https://onlinelibrary.wiley.com/doi/epdf/10.1002/jcla.24749" TargetMode="External"/><Relationship Id="rId5" Type="http://schemas.openxmlformats.org/officeDocument/2006/relationships/hyperlink" Target="https://kobson.nb.rs/nauka_u_srbiji.132.html?autor=Andrijevic%20Ljiljana%20N&amp;samoar=" TargetMode="External"/><Relationship Id="rId15" Type="http://schemas.openxmlformats.org/officeDocument/2006/relationships/hyperlink" Target="https://www.ncbi.nlm.nih.gov/pmc/articles/PMC4622195/pdf/bm-25-401.pdf" TargetMode="External"/><Relationship Id="rId10" Type="http://schemas.openxmlformats.org/officeDocument/2006/relationships/hyperlink" Target="file:///C:\Users\zorica.djokic\Downloads\jcm-12-01197-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epdf/10.1002/jcla.24862" TargetMode="External"/><Relationship Id="rId14" Type="http://schemas.openxmlformats.org/officeDocument/2006/relationships/hyperlink" Target="http://cms.galenos.com.tr/FileIssue/28/1204/article/226-2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zorica.djokic</cp:lastModifiedBy>
  <cp:revision>41</cp:revision>
  <dcterms:created xsi:type="dcterms:W3CDTF">2019-12-03T20:14:00Z</dcterms:created>
  <dcterms:modified xsi:type="dcterms:W3CDTF">2024-11-06T09:25:00Z</dcterms:modified>
</cp:coreProperties>
</file>