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688C" w14:textId="77777777" w:rsidR="00494424" w:rsidRPr="00743E8E" w:rsidRDefault="00494424" w:rsidP="00494424">
      <w:pPr>
        <w:spacing w:after="60"/>
        <w:jc w:val="center"/>
        <w:rPr>
          <w:iCs/>
          <w:sz w:val="22"/>
          <w:szCs w:val="22"/>
          <w:lang w:val="sr-Cyrl-CS"/>
        </w:rPr>
      </w:pPr>
      <w:r w:rsidRPr="00743E8E">
        <w:rPr>
          <w:b/>
          <w:iCs/>
          <w:sz w:val="22"/>
          <w:szCs w:val="22"/>
          <w:lang w:val="sr-Cyrl-CS"/>
        </w:rPr>
        <w:t>Табела. 9.</w:t>
      </w:r>
      <w:r w:rsidRPr="00743E8E">
        <w:rPr>
          <w:b/>
          <w:iCs/>
          <w:sz w:val="22"/>
          <w:szCs w:val="22"/>
        </w:rPr>
        <w:t>8</w:t>
      </w:r>
      <w:r w:rsidRPr="00743E8E">
        <w:rPr>
          <w:iCs/>
          <w:sz w:val="22"/>
          <w:szCs w:val="22"/>
          <w:lang w:val="sr-Cyrl-CS"/>
        </w:rPr>
        <w:t xml:space="preserve"> Компетентност ментора</w:t>
      </w:r>
    </w:p>
    <w:tbl>
      <w:tblPr>
        <w:tblW w:w="52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1539"/>
        <w:gridCol w:w="922"/>
        <w:gridCol w:w="1387"/>
        <w:gridCol w:w="702"/>
        <w:gridCol w:w="276"/>
        <w:gridCol w:w="754"/>
        <w:gridCol w:w="912"/>
        <w:gridCol w:w="387"/>
        <w:gridCol w:w="469"/>
        <w:gridCol w:w="653"/>
        <w:gridCol w:w="654"/>
        <w:gridCol w:w="666"/>
      </w:tblGrid>
      <w:tr w:rsidR="00494424" w:rsidRPr="00743E8E" w14:paraId="2B0E9849" w14:textId="77777777" w:rsidTr="00030AD8">
        <w:trPr>
          <w:trHeight w:val="227"/>
          <w:jc w:val="center"/>
        </w:trPr>
        <w:tc>
          <w:tcPr>
            <w:tcW w:w="1612" w:type="pct"/>
            <w:gridSpan w:val="3"/>
            <w:vAlign w:val="center"/>
          </w:tcPr>
          <w:p w14:paraId="5D1DAE9B" w14:textId="77777777" w:rsidR="00494424" w:rsidRPr="00743E8E" w:rsidRDefault="00494424" w:rsidP="008E1BFA">
            <w:pPr>
              <w:spacing w:after="60"/>
              <w:rPr>
                <w:lang w:val="sr-Cyrl-CS"/>
              </w:rPr>
            </w:pPr>
            <w:r w:rsidRPr="00743E8E">
              <w:rPr>
                <w:b/>
                <w:lang w:val="sr-Cyrl-CS"/>
              </w:rPr>
              <w:t>Име и презиме</w:t>
            </w:r>
          </w:p>
        </w:tc>
        <w:tc>
          <w:tcPr>
            <w:tcW w:w="3388" w:type="pct"/>
            <w:gridSpan w:val="10"/>
            <w:vAlign w:val="center"/>
          </w:tcPr>
          <w:p w14:paraId="56C051CA" w14:textId="77777777" w:rsidR="00494424" w:rsidRPr="00743E8E" w:rsidRDefault="00D37BF3" w:rsidP="008E1BFA">
            <w:pPr>
              <w:spacing w:after="60"/>
            </w:pPr>
            <w:hyperlink r:id="rId5" w:history="1">
              <w:r w:rsidRPr="00030AD8">
                <w:rPr>
                  <w:rStyle w:val="Hyperlink"/>
                </w:rPr>
                <w:t>Виктор Тил</w:t>
              </w:r>
            </w:hyperlink>
          </w:p>
        </w:tc>
      </w:tr>
      <w:tr w:rsidR="00494424" w:rsidRPr="00743E8E" w14:paraId="5CFBF15B" w14:textId="77777777" w:rsidTr="00030AD8">
        <w:trPr>
          <w:trHeight w:val="227"/>
          <w:jc w:val="center"/>
        </w:trPr>
        <w:tc>
          <w:tcPr>
            <w:tcW w:w="1612" w:type="pct"/>
            <w:gridSpan w:val="3"/>
            <w:vAlign w:val="center"/>
          </w:tcPr>
          <w:p w14:paraId="69F5038E" w14:textId="77777777" w:rsidR="00494424" w:rsidRPr="00743E8E" w:rsidRDefault="00494424" w:rsidP="008E1BFA">
            <w:pPr>
              <w:spacing w:after="60"/>
              <w:rPr>
                <w:lang w:val="sr-Cyrl-CS"/>
              </w:rPr>
            </w:pPr>
            <w:r w:rsidRPr="00743E8E">
              <w:rPr>
                <w:b/>
                <w:lang w:val="sr-Cyrl-CS"/>
              </w:rPr>
              <w:t>Звање</w:t>
            </w:r>
          </w:p>
        </w:tc>
        <w:tc>
          <w:tcPr>
            <w:tcW w:w="3388" w:type="pct"/>
            <w:gridSpan w:val="10"/>
            <w:vAlign w:val="center"/>
          </w:tcPr>
          <w:p w14:paraId="77965305" w14:textId="77777777" w:rsidR="00494424" w:rsidRPr="00743E8E" w:rsidRDefault="00D37BF3" w:rsidP="008E1BFA">
            <w:pPr>
              <w:spacing w:after="60"/>
              <w:rPr>
                <w:lang w:val="sr-Cyrl-CS"/>
              </w:rPr>
            </w:pPr>
            <w:r w:rsidRPr="00743E8E">
              <w:rPr>
                <w:lang w:val="sr-Cyrl-CS"/>
              </w:rPr>
              <w:t>Редовни професор</w:t>
            </w:r>
          </w:p>
        </w:tc>
      </w:tr>
      <w:tr w:rsidR="00494424" w:rsidRPr="00743E8E" w14:paraId="4E1D4C92" w14:textId="77777777" w:rsidTr="00030AD8">
        <w:trPr>
          <w:trHeight w:val="227"/>
          <w:jc w:val="center"/>
        </w:trPr>
        <w:tc>
          <w:tcPr>
            <w:tcW w:w="1612" w:type="pct"/>
            <w:gridSpan w:val="3"/>
            <w:vAlign w:val="center"/>
          </w:tcPr>
          <w:p w14:paraId="48672AB7" w14:textId="77777777" w:rsidR="00494424" w:rsidRPr="00743E8E" w:rsidRDefault="00494424" w:rsidP="008E1BFA">
            <w:pPr>
              <w:spacing w:after="60"/>
              <w:rPr>
                <w:lang w:val="sr-Cyrl-CS"/>
              </w:rPr>
            </w:pPr>
            <w:r w:rsidRPr="00743E8E">
              <w:rPr>
                <w:b/>
                <w:lang w:val="sr-Cyrl-CS"/>
              </w:rPr>
              <w:t>Ужа научна, уметничка односно стручна  област</w:t>
            </w:r>
          </w:p>
        </w:tc>
        <w:tc>
          <w:tcPr>
            <w:tcW w:w="3388" w:type="pct"/>
            <w:gridSpan w:val="10"/>
            <w:vAlign w:val="center"/>
          </w:tcPr>
          <w:p w14:paraId="38DE9595" w14:textId="77777777" w:rsidR="00494424" w:rsidRPr="00743E8E" w:rsidRDefault="00D37BF3" w:rsidP="008E1BFA">
            <w:pPr>
              <w:spacing w:after="60"/>
              <w:rPr>
                <w:lang w:val="sr-Cyrl-CS"/>
              </w:rPr>
            </w:pPr>
            <w:r w:rsidRPr="00743E8E">
              <w:rPr>
                <w:lang w:val="sr-Cyrl-CS"/>
              </w:rPr>
              <w:t>Радиологија</w:t>
            </w:r>
          </w:p>
        </w:tc>
      </w:tr>
      <w:tr w:rsidR="00975A90" w:rsidRPr="00743E8E" w14:paraId="4C43D398" w14:textId="77777777" w:rsidTr="00EF03D4">
        <w:trPr>
          <w:trHeight w:val="227"/>
          <w:jc w:val="center"/>
        </w:trPr>
        <w:tc>
          <w:tcPr>
            <w:tcW w:w="1120" w:type="pct"/>
            <w:gridSpan w:val="2"/>
            <w:vAlign w:val="center"/>
          </w:tcPr>
          <w:p w14:paraId="550F55E7" w14:textId="77777777" w:rsidR="00494424" w:rsidRPr="00743E8E" w:rsidRDefault="00494424" w:rsidP="008E1BFA">
            <w:pPr>
              <w:spacing w:after="60"/>
              <w:rPr>
                <w:lang w:val="sr-Cyrl-CS"/>
              </w:rPr>
            </w:pPr>
            <w:r w:rsidRPr="00743E8E">
              <w:rPr>
                <w:b/>
                <w:lang w:val="sr-Cyrl-CS"/>
              </w:rPr>
              <w:t>Академска каријера</w:t>
            </w:r>
          </w:p>
        </w:tc>
        <w:tc>
          <w:tcPr>
            <w:tcW w:w="492" w:type="pct"/>
            <w:vAlign w:val="center"/>
          </w:tcPr>
          <w:p w14:paraId="485F6917" w14:textId="77777777" w:rsidR="00494424" w:rsidRPr="00743E8E" w:rsidRDefault="00494424" w:rsidP="00975A90">
            <w:pPr>
              <w:spacing w:after="60"/>
              <w:jc w:val="center"/>
              <w:rPr>
                <w:b/>
                <w:lang w:val="sr-Cyrl-CS"/>
              </w:rPr>
            </w:pPr>
            <w:r w:rsidRPr="00743E8E">
              <w:rPr>
                <w:b/>
                <w:lang w:val="sr-Cyrl-CS"/>
              </w:rPr>
              <w:t>Година</w:t>
            </w:r>
          </w:p>
        </w:tc>
        <w:tc>
          <w:tcPr>
            <w:tcW w:w="1108" w:type="pct"/>
            <w:gridSpan w:val="2"/>
            <w:vAlign w:val="center"/>
          </w:tcPr>
          <w:p w14:paraId="0F4F7FF5" w14:textId="77777777" w:rsidR="00494424" w:rsidRPr="00743E8E" w:rsidRDefault="00494424" w:rsidP="00975A90">
            <w:pPr>
              <w:spacing w:after="60"/>
              <w:jc w:val="center"/>
              <w:rPr>
                <w:b/>
                <w:lang w:val="sr-Cyrl-CS"/>
              </w:rPr>
            </w:pPr>
            <w:r w:rsidRPr="00743E8E">
              <w:rPr>
                <w:b/>
                <w:lang w:val="sr-Cyrl-CS"/>
              </w:rPr>
              <w:t>Институција</w:t>
            </w:r>
          </w:p>
        </w:tc>
        <w:tc>
          <w:tcPr>
            <w:tcW w:w="2280" w:type="pct"/>
            <w:gridSpan w:val="8"/>
            <w:vAlign w:val="center"/>
          </w:tcPr>
          <w:p w14:paraId="77ECA35B" w14:textId="77777777" w:rsidR="00494424" w:rsidRPr="00743E8E" w:rsidRDefault="00494424" w:rsidP="00975A90">
            <w:pPr>
              <w:spacing w:after="60"/>
              <w:jc w:val="center"/>
              <w:rPr>
                <w:b/>
                <w:lang w:val="sr-Cyrl-CS"/>
              </w:rPr>
            </w:pPr>
            <w:r w:rsidRPr="00743E8E">
              <w:rPr>
                <w:b/>
                <w:lang w:val="sr-Cyrl-CS"/>
              </w:rPr>
              <w:t>Ужа научна, уметничка односно стручна област</w:t>
            </w:r>
          </w:p>
        </w:tc>
      </w:tr>
      <w:tr w:rsidR="00D37BF3" w:rsidRPr="00743E8E" w14:paraId="0AB4A51A" w14:textId="77777777" w:rsidTr="00EF03D4">
        <w:trPr>
          <w:trHeight w:val="227"/>
          <w:jc w:val="center"/>
        </w:trPr>
        <w:tc>
          <w:tcPr>
            <w:tcW w:w="1120" w:type="pct"/>
            <w:gridSpan w:val="2"/>
            <w:vAlign w:val="center"/>
          </w:tcPr>
          <w:p w14:paraId="611939AB" w14:textId="77777777" w:rsidR="00D37BF3" w:rsidRPr="00743E8E" w:rsidRDefault="00D37BF3" w:rsidP="00D37BF3">
            <w:pPr>
              <w:spacing w:after="60"/>
              <w:rPr>
                <w:lang w:val="sr-Cyrl-CS"/>
              </w:rPr>
            </w:pPr>
            <w:r w:rsidRPr="00743E8E">
              <w:rPr>
                <w:lang w:val="sr-Cyrl-CS"/>
              </w:rPr>
              <w:t>Избор у звање</w:t>
            </w:r>
          </w:p>
        </w:tc>
        <w:tc>
          <w:tcPr>
            <w:tcW w:w="492" w:type="pct"/>
            <w:vAlign w:val="center"/>
          </w:tcPr>
          <w:p w14:paraId="1FC651F4" w14:textId="77777777" w:rsidR="00D37BF3" w:rsidRPr="00743E8E" w:rsidRDefault="00D37BF3" w:rsidP="00A0505A">
            <w:r w:rsidRPr="00743E8E">
              <w:t>201</w:t>
            </w:r>
            <w:r w:rsidR="00A41D2D">
              <w:t>1</w:t>
            </w:r>
            <w:r w:rsidRPr="00743E8E">
              <w:t>.</w:t>
            </w:r>
          </w:p>
        </w:tc>
        <w:tc>
          <w:tcPr>
            <w:tcW w:w="1108" w:type="pct"/>
            <w:gridSpan w:val="2"/>
            <w:vAlign w:val="center"/>
          </w:tcPr>
          <w:p w14:paraId="1642C8A6" w14:textId="77777777" w:rsidR="00D37BF3" w:rsidRPr="00743E8E" w:rsidRDefault="00D37BF3" w:rsidP="00A0505A">
            <w:r w:rsidRPr="00743E8E">
              <w:t>Медицински факултет Нови Сад</w:t>
            </w:r>
          </w:p>
        </w:tc>
        <w:tc>
          <w:tcPr>
            <w:tcW w:w="2280" w:type="pct"/>
            <w:gridSpan w:val="8"/>
            <w:vAlign w:val="center"/>
          </w:tcPr>
          <w:p w14:paraId="1B1834F7" w14:textId="77777777" w:rsidR="00D37BF3" w:rsidRPr="00743E8E" w:rsidRDefault="00D37BF3" w:rsidP="00A0505A">
            <w:r w:rsidRPr="00743E8E">
              <w:t>Радиологија</w:t>
            </w:r>
          </w:p>
        </w:tc>
      </w:tr>
      <w:tr w:rsidR="00D37BF3" w:rsidRPr="00743E8E" w14:paraId="304B10B9" w14:textId="77777777" w:rsidTr="00EF03D4">
        <w:trPr>
          <w:trHeight w:val="227"/>
          <w:jc w:val="center"/>
        </w:trPr>
        <w:tc>
          <w:tcPr>
            <w:tcW w:w="1120" w:type="pct"/>
            <w:gridSpan w:val="2"/>
            <w:vAlign w:val="center"/>
          </w:tcPr>
          <w:p w14:paraId="4F2E80DB" w14:textId="77777777" w:rsidR="00D37BF3" w:rsidRPr="00743E8E" w:rsidRDefault="00D37BF3" w:rsidP="00D37BF3">
            <w:pPr>
              <w:spacing w:after="60"/>
              <w:rPr>
                <w:lang w:val="sr-Cyrl-CS"/>
              </w:rPr>
            </w:pPr>
            <w:r w:rsidRPr="00743E8E">
              <w:rPr>
                <w:lang w:val="sr-Cyrl-CS"/>
              </w:rPr>
              <w:t>Докторат</w:t>
            </w:r>
          </w:p>
        </w:tc>
        <w:tc>
          <w:tcPr>
            <w:tcW w:w="492" w:type="pct"/>
            <w:vAlign w:val="center"/>
          </w:tcPr>
          <w:p w14:paraId="4612240E" w14:textId="77777777" w:rsidR="00D37BF3" w:rsidRPr="00743E8E" w:rsidRDefault="00D37BF3" w:rsidP="00A0505A">
            <w:r w:rsidRPr="00743E8E">
              <w:t>1999.</w:t>
            </w:r>
          </w:p>
        </w:tc>
        <w:tc>
          <w:tcPr>
            <w:tcW w:w="1108" w:type="pct"/>
            <w:gridSpan w:val="2"/>
            <w:vAlign w:val="center"/>
          </w:tcPr>
          <w:p w14:paraId="40FE0667" w14:textId="77777777" w:rsidR="00D37BF3" w:rsidRPr="00743E8E" w:rsidRDefault="00D37BF3" w:rsidP="00A0505A">
            <w:r w:rsidRPr="00743E8E">
              <w:t>Медицински факултет Нови Сад</w:t>
            </w:r>
          </w:p>
        </w:tc>
        <w:tc>
          <w:tcPr>
            <w:tcW w:w="2280" w:type="pct"/>
            <w:gridSpan w:val="8"/>
            <w:vAlign w:val="center"/>
          </w:tcPr>
          <w:p w14:paraId="6C4864AC" w14:textId="77777777" w:rsidR="00D37BF3" w:rsidRPr="00743E8E" w:rsidRDefault="00D37BF3" w:rsidP="00A0505A">
            <w:r w:rsidRPr="00743E8E">
              <w:t>Радиологија</w:t>
            </w:r>
          </w:p>
        </w:tc>
      </w:tr>
      <w:tr w:rsidR="00D37BF3" w:rsidRPr="00743E8E" w14:paraId="7E3DD61F" w14:textId="77777777" w:rsidTr="00EF03D4">
        <w:trPr>
          <w:trHeight w:val="227"/>
          <w:jc w:val="center"/>
        </w:trPr>
        <w:tc>
          <w:tcPr>
            <w:tcW w:w="1120" w:type="pct"/>
            <w:gridSpan w:val="2"/>
            <w:vAlign w:val="center"/>
          </w:tcPr>
          <w:p w14:paraId="4ACD54F6" w14:textId="77777777" w:rsidR="00D37BF3" w:rsidRPr="00743E8E" w:rsidRDefault="00D37BF3" w:rsidP="00D37BF3">
            <w:pPr>
              <w:spacing w:after="60"/>
            </w:pPr>
            <w:r w:rsidRPr="00743E8E">
              <w:t>Специјализација</w:t>
            </w:r>
          </w:p>
        </w:tc>
        <w:tc>
          <w:tcPr>
            <w:tcW w:w="492" w:type="pct"/>
            <w:vAlign w:val="center"/>
          </w:tcPr>
          <w:p w14:paraId="42412D58" w14:textId="77777777" w:rsidR="00D37BF3" w:rsidRPr="00743E8E" w:rsidRDefault="00D37BF3" w:rsidP="00A0505A">
            <w:r w:rsidRPr="00743E8E">
              <w:t>1994.</w:t>
            </w:r>
          </w:p>
        </w:tc>
        <w:tc>
          <w:tcPr>
            <w:tcW w:w="1108" w:type="pct"/>
            <w:gridSpan w:val="2"/>
            <w:vAlign w:val="center"/>
          </w:tcPr>
          <w:p w14:paraId="597569DA" w14:textId="77777777" w:rsidR="00D37BF3" w:rsidRPr="00743E8E" w:rsidRDefault="00D37BF3" w:rsidP="00A0505A">
            <w:r w:rsidRPr="00743E8E">
              <w:t>Медицински факултет Нови Сад</w:t>
            </w:r>
          </w:p>
        </w:tc>
        <w:tc>
          <w:tcPr>
            <w:tcW w:w="2280" w:type="pct"/>
            <w:gridSpan w:val="8"/>
            <w:vAlign w:val="center"/>
          </w:tcPr>
          <w:p w14:paraId="086AA4B8" w14:textId="77777777" w:rsidR="00D37BF3" w:rsidRPr="00743E8E" w:rsidRDefault="00D37BF3" w:rsidP="00A0505A">
            <w:r w:rsidRPr="00743E8E">
              <w:t>Радиологија</w:t>
            </w:r>
          </w:p>
        </w:tc>
      </w:tr>
      <w:tr w:rsidR="00D37BF3" w:rsidRPr="00743E8E" w14:paraId="0EEF084F" w14:textId="77777777" w:rsidTr="00EF03D4">
        <w:trPr>
          <w:trHeight w:val="227"/>
          <w:jc w:val="center"/>
        </w:trPr>
        <w:tc>
          <w:tcPr>
            <w:tcW w:w="1120" w:type="pct"/>
            <w:gridSpan w:val="2"/>
            <w:vAlign w:val="center"/>
          </w:tcPr>
          <w:p w14:paraId="254C54B5" w14:textId="77777777" w:rsidR="00D37BF3" w:rsidRPr="00743E8E" w:rsidRDefault="00D37BF3" w:rsidP="00D37BF3">
            <w:pPr>
              <w:spacing w:after="60"/>
            </w:pPr>
            <w:r w:rsidRPr="00743E8E">
              <w:t>Магистратура</w:t>
            </w:r>
          </w:p>
        </w:tc>
        <w:tc>
          <w:tcPr>
            <w:tcW w:w="492" w:type="pct"/>
            <w:vAlign w:val="center"/>
          </w:tcPr>
          <w:p w14:paraId="7C5A5787" w14:textId="77777777" w:rsidR="00D37BF3" w:rsidRPr="00743E8E" w:rsidRDefault="00D37BF3" w:rsidP="00A0505A">
            <w:r w:rsidRPr="00743E8E">
              <w:t>1993.</w:t>
            </w:r>
          </w:p>
        </w:tc>
        <w:tc>
          <w:tcPr>
            <w:tcW w:w="1108" w:type="pct"/>
            <w:gridSpan w:val="2"/>
            <w:vAlign w:val="center"/>
          </w:tcPr>
          <w:p w14:paraId="30DCC397" w14:textId="77777777" w:rsidR="00D37BF3" w:rsidRPr="00743E8E" w:rsidRDefault="00D37BF3" w:rsidP="00A0505A">
            <w:r w:rsidRPr="00743E8E">
              <w:t>Медицински факултет Нови Сад</w:t>
            </w:r>
          </w:p>
        </w:tc>
        <w:tc>
          <w:tcPr>
            <w:tcW w:w="2280" w:type="pct"/>
            <w:gridSpan w:val="8"/>
            <w:vAlign w:val="center"/>
          </w:tcPr>
          <w:p w14:paraId="204840EA" w14:textId="77777777" w:rsidR="00D37BF3" w:rsidRPr="00743E8E" w:rsidRDefault="00D37BF3" w:rsidP="00A0505A">
            <w:r w:rsidRPr="00743E8E">
              <w:t>Радиологија</w:t>
            </w:r>
          </w:p>
        </w:tc>
      </w:tr>
      <w:tr w:rsidR="00D37BF3" w:rsidRPr="00743E8E" w14:paraId="3007F854" w14:textId="77777777" w:rsidTr="00EF03D4">
        <w:trPr>
          <w:trHeight w:val="227"/>
          <w:jc w:val="center"/>
        </w:trPr>
        <w:tc>
          <w:tcPr>
            <w:tcW w:w="1120" w:type="pct"/>
            <w:gridSpan w:val="2"/>
            <w:vAlign w:val="center"/>
          </w:tcPr>
          <w:p w14:paraId="031E7421" w14:textId="77777777" w:rsidR="00D37BF3" w:rsidRPr="00743E8E" w:rsidRDefault="00D37BF3" w:rsidP="00D37BF3">
            <w:pPr>
              <w:spacing w:after="60"/>
            </w:pPr>
            <w:r w:rsidRPr="00743E8E">
              <w:t xml:space="preserve">Мастер </w:t>
            </w:r>
          </w:p>
        </w:tc>
        <w:tc>
          <w:tcPr>
            <w:tcW w:w="492" w:type="pct"/>
            <w:vAlign w:val="center"/>
          </w:tcPr>
          <w:p w14:paraId="4259B6A8" w14:textId="77777777" w:rsidR="00D37BF3" w:rsidRPr="00743E8E" w:rsidRDefault="00D37BF3" w:rsidP="00A0505A"/>
        </w:tc>
        <w:tc>
          <w:tcPr>
            <w:tcW w:w="1108" w:type="pct"/>
            <w:gridSpan w:val="2"/>
            <w:vAlign w:val="center"/>
          </w:tcPr>
          <w:p w14:paraId="06C12C5F" w14:textId="77777777" w:rsidR="00D37BF3" w:rsidRPr="00743E8E" w:rsidRDefault="00D37BF3" w:rsidP="00A0505A"/>
        </w:tc>
        <w:tc>
          <w:tcPr>
            <w:tcW w:w="2280" w:type="pct"/>
            <w:gridSpan w:val="8"/>
            <w:vAlign w:val="center"/>
          </w:tcPr>
          <w:p w14:paraId="3BCFDAC1" w14:textId="77777777" w:rsidR="00D37BF3" w:rsidRPr="00743E8E" w:rsidRDefault="00D37BF3" w:rsidP="00A0505A"/>
        </w:tc>
      </w:tr>
      <w:tr w:rsidR="00D37BF3" w:rsidRPr="00743E8E" w14:paraId="14AB006E" w14:textId="77777777" w:rsidTr="00EF03D4">
        <w:trPr>
          <w:trHeight w:val="227"/>
          <w:jc w:val="center"/>
        </w:trPr>
        <w:tc>
          <w:tcPr>
            <w:tcW w:w="1120" w:type="pct"/>
            <w:gridSpan w:val="2"/>
            <w:vAlign w:val="center"/>
          </w:tcPr>
          <w:p w14:paraId="3CCE7CAB" w14:textId="77777777" w:rsidR="00D37BF3" w:rsidRPr="00743E8E" w:rsidRDefault="00D37BF3" w:rsidP="00D37BF3">
            <w:pPr>
              <w:spacing w:after="60"/>
              <w:rPr>
                <w:lang w:val="sr-Cyrl-CS"/>
              </w:rPr>
            </w:pPr>
            <w:r w:rsidRPr="00743E8E">
              <w:rPr>
                <w:lang w:val="sr-Cyrl-CS"/>
              </w:rPr>
              <w:t>Диплома</w:t>
            </w:r>
          </w:p>
        </w:tc>
        <w:tc>
          <w:tcPr>
            <w:tcW w:w="492" w:type="pct"/>
            <w:vAlign w:val="center"/>
          </w:tcPr>
          <w:p w14:paraId="589170E7" w14:textId="77777777" w:rsidR="00D37BF3" w:rsidRPr="00743E8E" w:rsidRDefault="00D37BF3" w:rsidP="00A0505A">
            <w:r w:rsidRPr="00743E8E">
              <w:t>1989.</w:t>
            </w:r>
          </w:p>
        </w:tc>
        <w:tc>
          <w:tcPr>
            <w:tcW w:w="1108" w:type="pct"/>
            <w:gridSpan w:val="2"/>
            <w:vAlign w:val="center"/>
          </w:tcPr>
          <w:p w14:paraId="5EA54461" w14:textId="77777777" w:rsidR="00D37BF3" w:rsidRPr="00743E8E" w:rsidRDefault="00D37BF3" w:rsidP="00A0505A">
            <w:r w:rsidRPr="00743E8E">
              <w:t>Медицински факултет Нови Сад</w:t>
            </w:r>
          </w:p>
        </w:tc>
        <w:tc>
          <w:tcPr>
            <w:tcW w:w="2280" w:type="pct"/>
            <w:gridSpan w:val="8"/>
            <w:vAlign w:val="center"/>
          </w:tcPr>
          <w:p w14:paraId="053D1DC0" w14:textId="77777777" w:rsidR="00D37BF3" w:rsidRPr="00743E8E" w:rsidRDefault="00D37BF3" w:rsidP="00A0505A">
            <w:r w:rsidRPr="00743E8E">
              <w:t>Општа медицина</w:t>
            </w:r>
          </w:p>
        </w:tc>
      </w:tr>
      <w:tr w:rsidR="00D37BF3" w:rsidRPr="00743E8E" w14:paraId="456A3109" w14:textId="77777777" w:rsidTr="00494424">
        <w:trPr>
          <w:trHeight w:val="227"/>
          <w:jc w:val="center"/>
        </w:trPr>
        <w:tc>
          <w:tcPr>
            <w:tcW w:w="5000" w:type="pct"/>
            <w:gridSpan w:val="13"/>
            <w:vAlign w:val="center"/>
          </w:tcPr>
          <w:p w14:paraId="7F3C3FD8" w14:textId="77777777" w:rsidR="00D37BF3" w:rsidRPr="00743E8E" w:rsidRDefault="00D37BF3" w:rsidP="00D37BF3">
            <w:pPr>
              <w:spacing w:after="60"/>
              <w:rPr>
                <w:lang w:val="sr-Cyrl-CS"/>
              </w:rPr>
            </w:pPr>
            <w:r w:rsidRPr="00743E8E">
              <w:rPr>
                <w:b/>
                <w:lang w:val="sr-Cyrl-CS"/>
              </w:rPr>
              <w:t>Списак дисертација</w:t>
            </w:r>
            <w:r w:rsidRPr="00743E8E">
              <w:rPr>
                <w:b/>
              </w:rPr>
              <w:t xml:space="preserve">-докторских уметничких пројеката </w:t>
            </w:r>
            <w:r w:rsidRPr="00743E8E">
              <w:rPr>
                <w:b/>
                <w:lang w:val="sr-Cyrl-CS"/>
              </w:rPr>
              <w:t>а у којима је наставнк ментор или је био ментор у претходних 10 година</w:t>
            </w:r>
          </w:p>
        </w:tc>
      </w:tr>
      <w:tr w:rsidR="00D37BF3" w:rsidRPr="00743E8E" w14:paraId="06C82AE8" w14:textId="77777777" w:rsidTr="00C00544">
        <w:trPr>
          <w:trHeight w:val="227"/>
          <w:jc w:val="center"/>
        </w:trPr>
        <w:tc>
          <w:tcPr>
            <w:tcW w:w="316" w:type="pct"/>
            <w:vAlign w:val="center"/>
          </w:tcPr>
          <w:p w14:paraId="15E811F2" w14:textId="77777777" w:rsidR="00D37BF3" w:rsidRPr="00743E8E" w:rsidRDefault="00D37BF3" w:rsidP="00D37BF3">
            <w:pPr>
              <w:spacing w:after="60"/>
              <w:rPr>
                <w:lang w:val="sr-Cyrl-CS"/>
              </w:rPr>
            </w:pPr>
            <w:r w:rsidRPr="00743E8E">
              <w:rPr>
                <w:lang w:val="sr-Cyrl-CS"/>
              </w:rPr>
              <w:t>Р.Б.</w:t>
            </w:r>
          </w:p>
        </w:tc>
        <w:tc>
          <w:tcPr>
            <w:tcW w:w="2023" w:type="pct"/>
            <w:gridSpan w:val="3"/>
            <w:vAlign w:val="center"/>
          </w:tcPr>
          <w:p w14:paraId="03052511" w14:textId="77777777" w:rsidR="00D37BF3" w:rsidRPr="00743E8E" w:rsidRDefault="00D37BF3" w:rsidP="00D37BF3">
            <w:pPr>
              <w:spacing w:after="60"/>
            </w:pPr>
            <w:r w:rsidRPr="00743E8E">
              <w:rPr>
                <w:lang w:val="sr-Cyrl-CS"/>
              </w:rPr>
              <w:t>Наслов дисертације</w:t>
            </w:r>
            <w:r w:rsidRPr="00743E8E">
              <w:t xml:space="preserve">- докторског уметничког пројекта </w:t>
            </w:r>
          </w:p>
        </w:tc>
        <w:tc>
          <w:tcPr>
            <w:tcW w:w="954" w:type="pct"/>
            <w:gridSpan w:val="3"/>
            <w:vAlign w:val="center"/>
          </w:tcPr>
          <w:p w14:paraId="776BC0D5" w14:textId="77777777" w:rsidR="00D37BF3" w:rsidRPr="00743E8E" w:rsidRDefault="00D37BF3" w:rsidP="00D37BF3">
            <w:pPr>
              <w:spacing w:after="60"/>
              <w:rPr>
                <w:lang w:val="sr-Cyrl-CS"/>
              </w:rPr>
            </w:pPr>
            <w:r w:rsidRPr="00743E8E">
              <w:rPr>
                <w:lang w:val="sr-Cyrl-CS"/>
              </w:rPr>
              <w:t>Име кандидата</w:t>
            </w:r>
          </w:p>
        </w:tc>
        <w:tc>
          <w:tcPr>
            <w:tcW w:w="379" w:type="pct"/>
            <w:gridSpan w:val="2"/>
            <w:vAlign w:val="center"/>
          </w:tcPr>
          <w:p w14:paraId="7BD1AC68" w14:textId="77777777" w:rsidR="00D37BF3" w:rsidRPr="00743E8E" w:rsidRDefault="00D37BF3" w:rsidP="00D37BF3">
            <w:pPr>
              <w:spacing w:after="60"/>
              <w:rPr>
                <w:lang w:val="sr-Cyrl-CS"/>
              </w:rPr>
            </w:pPr>
            <w:r w:rsidRPr="00743E8E">
              <w:rPr>
                <w:lang w:val="sr-Cyrl-CS"/>
              </w:rPr>
              <w:t xml:space="preserve">*пријављена </w:t>
            </w:r>
          </w:p>
        </w:tc>
        <w:tc>
          <w:tcPr>
            <w:tcW w:w="1329" w:type="pct"/>
            <w:gridSpan w:val="4"/>
            <w:vAlign w:val="center"/>
          </w:tcPr>
          <w:p w14:paraId="35CFFA75" w14:textId="77777777" w:rsidR="00D37BF3" w:rsidRPr="00743E8E" w:rsidRDefault="00D37BF3" w:rsidP="00D37BF3">
            <w:pPr>
              <w:spacing w:after="60"/>
              <w:rPr>
                <w:lang w:val="sr-Cyrl-CS"/>
              </w:rPr>
            </w:pPr>
            <w:r w:rsidRPr="00743E8E">
              <w:rPr>
                <w:lang w:val="sr-Cyrl-CS"/>
              </w:rPr>
              <w:t>** одбрањена</w:t>
            </w:r>
          </w:p>
        </w:tc>
      </w:tr>
      <w:tr w:rsidR="00EF03D4" w:rsidRPr="00743E8E" w14:paraId="19F5E529" w14:textId="77777777" w:rsidTr="00C00544">
        <w:trPr>
          <w:trHeight w:val="227"/>
          <w:jc w:val="center"/>
        </w:trPr>
        <w:tc>
          <w:tcPr>
            <w:tcW w:w="316" w:type="pct"/>
            <w:vAlign w:val="center"/>
          </w:tcPr>
          <w:p w14:paraId="4822B5EF" w14:textId="4D79882A" w:rsidR="00EF03D4" w:rsidRPr="00743E8E" w:rsidRDefault="00EF03D4" w:rsidP="00EF03D4">
            <w:pPr>
              <w:spacing w:after="60"/>
            </w:pPr>
            <w:r>
              <w:t>1.</w:t>
            </w:r>
          </w:p>
        </w:tc>
        <w:tc>
          <w:tcPr>
            <w:tcW w:w="2023" w:type="pct"/>
            <w:gridSpan w:val="3"/>
            <w:vAlign w:val="center"/>
          </w:tcPr>
          <w:p w14:paraId="76AA7FBE" w14:textId="3B090D27" w:rsidR="00EF03D4" w:rsidRPr="00743E8E" w:rsidRDefault="00EF03D4" w:rsidP="00EF03D4">
            <w:pPr>
              <w:spacing w:after="60"/>
              <w:rPr>
                <w:lang w:val="sr-Cyrl-CS"/>
              </w:rPr>
            </w:pPr>
            <w:r w:rsidRPr="00743E8E">
              <w:rPr>
                <w:lang w:val="sr-Cyrl-CS"/>
              </w:rPr>
              <w:t>Резултати лечења аортоилијачне болести ендоваскуларним процедурама и класичним хируршким присуством</w:t>
            </w:r>
          </w:p>
        </w:tc>
        <w:tc>
          <w:tcPr>
            <w:tcW w:w="954" w:type="pct"/>
            <w:gridSpan w:val="3"/>
            <w:vAlign w:val="center"/>
          </w:tcPr>
          <w:p w14:paraId="05F387C6" w14:textId="654A68AF" w:rsidR="00EF03D4" w:rsidRPr="00743E8E" w:rsidRDefault="00EF03D4" w:rsidP="00EF03D4">
            <w:pPr>
              <w:spacing w:after="60"/>
              <w:rPr>
                <w:lang w:val="sr-Cyrl-CS"/>
              </w:rPr>
            </w:pPr>
            <w:r w:rsidRPr="00743E8E">
              <w:rPr>
                <w:lang w:val="sr-Cyrl-CS"/>
              </w:rPr>
              <w:t>Владимир Марковић</w:t>
            </w:r>
          </w:p>
        </w:tc>
        <w:tc>
          <w:tcPr>
            <w:tcW w:w="379" w:type="pct"/>
            <w:gridSpan w:val="2"/>
            <w:vAlign w:val="center"/>
          </w:tcPr>
          <w:p w14:paraId="6AAC7232" w14:textId="77777777" w:rsidR="00EF03D4" w:rsidRPr="00743E8E" w:rsidRDefault="00EF03D4" w:rsidP="00EF03D4">
            <w:pPr>
              <w:spacing w:after="60"/>
              <w:rPr>
                <w:lang w:val="sr-Cyrl-CS"/>
              </w:rPr>
            </w:pPr>
          </w:p>
        </w:tc>
        <w:tc>
          <w:tcPr>
            <w:tcW w:w="1329" w:type="pct"/>
            <w:gridSpan w:val="4"/>
            <w:vAlign w:val="center"/>
          </w:tcPr>
          <w:p w14:paraId="74A5DC00" w14:textId="729EE168" w:rsidR="00EF03D4" w:rsidRPr="00743E8E" w:rsidRDefault="00EF03D4" w:rsidP="00EF03D4">
            <w:pPr>
              <w:spacing w:after="60"/>
              <w:rPr>
                <w:lang w:val="sr-Cyrl-CS"/>
              </w:rPr>
            </w:pPr>
            <w:r w:rsidRPr="00743E8E">
              <w:rPr>
                <w:lang w:val="sr-Cyrl-CS"/>
              </w:rPr>
              <w:t>2017.</w:t>
            </w:r>
          </w:p>
        </w:tc>
      </w:tr>
      <w:tr w:rsidR="00EF03D4" w:rsidRPr="00743E8E" w14:paraId="428D0DB6" w14:textId="77777777" w:rsidTr="00C00544">
        <w:trPr>
          <w:trHeight w:val="227"/>
          <w:jc w:val="center"/>
        </w:trPr>
        <w:tc>
          <w:tcPr>
            <w:tcW w:w="316" w:type="pct"/>
            <w:vAlign w:val="center"/>
          </w:tcPr>
          <w:p w14:paraId="096524CC" w14:textId="2DBDAC43" w:rsidR="00EF03D4" w:rsidRPr="00EF03D4" w:rsidRDefault="00EF03D4" w:rsidP="00EF03D4">
            <w:pPr>
              <w:spacing w:after="60"/>
              <w:rPr>
                <w:lang w:val="sr-Latn-RS"/>
              </w:rPr>
            </w:pPr>
            <w:r>
              <w:rPr>
                <w:lang w:val="sr-Latn-RS"/>
              </w:rPr>
              <w:t>2.</w:t>
            </w:r>
          </w:p>
        </w:tc>
        <w:tc>
          <w:tcPr>
            <w:tcW w:w="2023" w:type="pct"/>
            <w:gridSpan w:val="3"/>
            <w:vAlign w:val="center"/>
          </w:tcPr>
          <w:p w14:paraId="084163DB" w14:textId="52E2BD4B" w:rsidR="00EF03D4" w:rsidRPr="00743E8E" w:rsidRDefault="00EF03D4" w:rsidP="00EF03D4">
            <w:pPr>
              <w:spacing w:after="60"/>
            </w:pPr>
            <w:r w:rsidRPr="00743E8E">
              <w:t>Утврђивање морфолошких типова пинеалне жлезде хистолошком и методом компјутеризоване томографије</w:t>
            </w:r>
          </w:p>
        </w:tc>
        <w:tc>
          <w:tcPr>
            <w:tcW w:w="954" w:type="pct"/>
            <w:gridSpan w:val="3"/>
            <w:vAlign w:val="center"/>
          </w:tcPr>
          <w:p w14:paraId="4FA06F72" w14:textId="5F84B6DE" w:rsidR="00EF03D4" w:rsidRPr="00743E8E" w:rsidRDefault="00EF03D4" w:rsidP="00EF03D4">
            <w:pPr>
              <w:spacing w:after="60"/>
              <w:rPr>
                <w:lang w:val="sr-Cyrl-CS"/>
              </w:rPr>
            </w:pPr>
            <w:r w:rsidRPr="00743E8E">
              <w:rPr>
                <w:lang w:val="sr-Cyrl-CS"/>
              </w:rPr>
              <w:t>Валерија Мунтеану</w:t>
            </w:r>
          </w:p>
        </w:tc>
        <w:tc>
          <w:tcPr>
            <w:tcW w:w="379" w:type="pct"/>
            <w:gridSpan w:val="2"/>
            <w:vAlign w:val="center"/>
          </w:tcPr>
          <w:p w14:paraId="58E04CAB" w14:textId="77777777" w:rsidR="00EF03D4" w:rsidRPr="00743E8E" w:rsidRDefault="00EF03D4" w:rsidP="00EF03D4">
            <w:pPr>
              <w:spacing w:after="60"/>
              <w:rPr>
                <w:lang w:val="sr-Cyrl-CS"/>
              </w:rPr>
            </w:pPr>
          </w:p>
        </w:tc>
        <w:tc>
          <w:tcPr>
            <w:tcW w:w="1329" w:type="pct"/>
            <w:gridSpan w:val="4"/>
            <w:vAlign w:val="center"/>
          </w:tcPr>
          <w:p w14:paraId="2FEA174F" w14:textId="01684D93" w:rsidR="00EF03D4" w:rsidRPr="00743E8E" w:rsidRDefault="00EF03D4" w:rsidP="00EF03D4">
            <w:pPr>
              <w:spacing w:after="60"/>
              <w:rPr>
                <w:lang w:val="sr-Cyrl-CS"/>
              </w:rPr>
            </w:pPr>
            <w:r w:rsidRPr="00743E8E">
              <w:rPr>
                <w:lang w:val="sr-Cyrl-CS"/>
              </w:rPr>
              <w:t>2016.</w:t>
            </w:r>
          </w:p>
        </w:tc>
      </w:tr>
      <w:tr w:rsidR="00EF03D4" w:rsidRPr="00743E8E" w14:paraId="45FB7E5A" w14:textId="77777777" w:rsidTr="00494424">
        <w:trPr>
          <w:trHeight w:val="227"/>
          <w:jc w:val="center"/>
        </w:trPr>
        <w:tc>
          <w:tcPr>
            <w:tcW w:w="5000" w:type="pct"/>
            <w:gridSpan w:val="13"/>
            <w:vAlign w:val="center"/>
          </w:tcPr>
          <w:p w14:paraId="35D84C7F" w14:textId="77777777" w:rsidR="00EF03D4" w:rsidRPr="00743E8E" w:rsidRDefault="00EF03D4" w:rsidP="00EF03D4">
            <w:pPr>
              <w:spacing w:after="60"/>
              <w:jc w:val="both"/>
              <w:rPr>
                <w:lang w:val="sr-Cyrl-CS"/>
              </w:rPr>
            </w:pPr>
            <w:r w:rsidRPr="00743E8E">
              <w:rPr>
                <w:lang w:val="sr-Cyrl-CS"/>
              </w:rPr>
              <w:t>*Година  у којој је дисертација</w:t>
            </w:r>
            <w:r w:rsidRPr="00743E8E">
              <w:t xml:space="preserve">-докторски уметнички пројекат </w:t>
            </w:r>
            <w:r w:rsidRPr="00743E8E">
              <w:rPr>
                <w:lang w:val="sr-Cyrl-CS"/>
              </w:rPr>
              <w:t xml:space="preserve"> пријављена</w:t>
            </w:r>
            <w:r w:rsidRPr="00743E8E">
              <w:t xml:space="preserve">-пријављен </w:t>
            </w:r>
            <w:r w:rsidRPr="00743E8E">
              <w:rPr>
                <w:lang w:val="sr-Cyrl-CS"/>
              </w:rPr>
              <w:t>(само за дисертације</w:t>
            </w:r>
            <w:r w:rsidRPr="00743E8E">
              <w:t xml:space="preserve">-докторске уметничке пројекте </w:t>
            </w:r>
            <w:r w:rsidRPr="00743E8E">
              <w:rPr>
                <w:lang w:val="sr-Cyrl-CS"/>
              </w:rPr>
              <w:t xml:space="preserve"> које су у току), ** Година у којој је дисертација</w:t>
            </w:r>
            <w:r w:rsidRPr="00743E8E">
              <w:t xml:space="preserve">-докторски уметнички пројекат </w:t>
            </w:r>
            <w:r w:rsidRPr="00743E8E">
              <w:rPr>
                <w:lang w:val="sr-Cyrl-CS"/>
              </w:rPr>
              <w:t xml:space="preserve"> одбрањена (само за дисертације</w:t>
            </w:r>
            <w:r w:rsidRPr="00743E8E">
              <w:t xml:space="preserve">-докторско уметничке пројекте </w:t>
            </w:r>
            <w:r w:rsidRPr="00743E8E">
              <w:rPr>
                <w:lang w:val="sr-Cyrl-CS"/>
              </w:rPr>
              <w:t xml:space="preserve"> из ранијег периода)</w:t>
            </w:r>
          </w:p>
        </w:tc>
      </w:tr>
      <w:tr w:rsidR="00EF03D4" w:rsidRPr="00743E8E" w14:paraId="7B32199D" w14:textId="77777777" w:rsidTr="00494424">
        <w:trPr>
          <w:trHeight w:val="227"/>
          <w:jc w:val="center"/>
        </w:trPr>
        <w:tc>
          <w:tcPr>
            <w:tcW w:w="5000" w:type="pct"/>
            <w:gridSpan w:val="13"/>
            <w:vAlign w:val="center"/>
          </w:tcPr>
          <w:p w14:paraId="5C2B10D8" w14:textId="77777777" w:rsidR="00EF03D4" w:rsidRPr="00743E8E" w:rsidRDefault="00EF03D4" w:rsidP="00EF03D4">
            <w:pPr>
              <w:spacing w:after="60"/>
              <w:jc w:val="both"/>
              <w:rPr>
                <w:b/>
              </w:rPr>
            </w:pPr>
            <w:r w:rsidRPr="00743E8E">
              <w:rPr>
                <w:b/>
                <w:lang w:val="sr-Cyrl-CS"/>
              </w:rPr>
              <w:t>Категоризација публикације</w:t>
            </w:r>
            <w:r w:rsidRPr="00743E8E">
              <w:rPr>
                <w:b/>
              </w:rPr>
              <w:t xml:space="preserve"> научних радова  из области датог студијског програма </w:t>
            </w:r>
            <w:r w:rsidRPr="00743E8E">
              <w:rPr>
                <w:b/>
                <w:lang w:val="sr-Cyrl-CS"/>
              </w:rPr>
              <w:t xml:space="preserve"> према класификацији ре</w:t>
            </w:r>
            <w:r w:rsidRPr="00743E8E">
              <w:rPr>
                <w:b/>
              </w:rPr>
              <w:t>с</w:t>
            </w:r>
            <w:r w:rsidRPr="00743E8E">
              <w:rPr>
                <w:b/>
                <w:lang w:val="sr-Cyrl-CS"/>
              </w:rPr>
              <w:t>орног Министарства просвете, науке и технолошког развоја  а у складу са допунским захтевевима  стандарда за дато поље</w:t>
            </w:r>
          </w:p>
        </w:tc>
      </w:tr>
      <w:tr w:rsidR="00EF03D4" w:rsidRPr="00743E8E" w14:paraId="35DB4303" w14:textId="77777777" w:rsidTr="00EF03D4">
        <w:trPr>
          <w:trHeight w:val="227"/>
          <w:jc w:val="center"/>
        </w:trPr>
        <w:tc>
          <w:tcPr>
            <w:tcW w:w="316" w:type="pct"/>
            <w:vAlign w:val="center"/>
          </w:tcPr>
          <w:p w14:paraId="4C0D927F" w14:textId="77777777" w:rsidR="00EF03D4" w:rsidRPr="00743E8E" w:rsidRDefault="00EF03D4" w:rsidP="00EF03D4">
            <w:pPr>
              <w:spacing w:line="276" w:lineRule="auto"/>
              <w:ind w:left="-23"/>
              <w:jc w:val="center"/>
              <w:rPr>
                <w:b/>
              </w:rPr>
            </w:pPr>
            <w:r w:rsidRPr="00743E8E">
              <w:rPr>
                <w:b/>
              </w:rPr>
              <w:t>Р.б.</w:t>
            </w:r>
          </w:p>
        </w:tc>
        <w:tc>
          <w:tcPr>
            <w:tcW w:w="3619" w:type="pct"/>
            <w:gridSpan w:val="9"/>
          </w:tcPr>
          <w:p w14:paraId="3FB9F2B8" w14:textId="77777777" w:rsidR="00EF03D4" w:rsidRPr="00743E8E" w:rsidRDefault="00EF03D4" w:rsidP="00EF03D4">
            <w:pPr>
              <w:pStyle w:val="TableParagraph"/>
              <w:spacing w:line="276" w:lineRule="auto"/>
              <w:ind w:left="65" w:right="-15"/>
              <w:jc w:val="center"/>
              <w:rPr>
                <w:b/>
                <w:sz w:val="20"/>
                <w:szCs w:val="20"/>
              </w:rPr>
            </w:pPr>
            <w:proofErr w:type="spellStart"/>
            <w:r w:rsidRPr="00743E8E">
              <w:rPr>
                <w:b/>
                <w:sz w:val="20"/>
                <w:szCs w:val="20"/>
              </w:rPr>
              <w:t>Публикација</w:t>
            </w:r>
            <w:proofErr w:type="spellEnd"/>
          </w:p>
        </w:tc>
        <w:tc>
          <w:tcPr>
            <w:tcW w:w="356" w:type="pct"/>
          </w:tcPr>
          <w:p w14:paraId="5BA15BDA" w14:textId="77777777" w:rsidR="00EF03D4" w:rsidRPr="00743E8E" w:rsidRDefault="00EF03D4" w:rsidP="00EF03D4">
            <w:pPr>
              <w:pStyle w:val="TableParagraph"/>
              <w:spacing w:before="8" w:line="276" w:lineRule="auto"/>
              <w:jc w:val="center"/>
              <w:rPr>
                <w:b/>
                <w:sz w:val="20"/>
                <w:szCs w:val="20"/>
              </w:rPr>
            </w:pPr>
            <w:r w:rsidRPr="00743E8E">
              <w:rPr>
                <w:b/>
                <w:sz w:val="20"/>
                <w:szCs w:val="20"/>
              </w:rPr>
              <w:t>ISI</w:t>
            </w:r>
          </w:p>
        </w:tc>
        <w:tc>
          <w:tcPr>
            <w:tcW w:w="356" w:type="pct"/>
          </w:tcPr>
          <w:p w14:paraId="584DA052" w14:textId="77777777" w:rsidR="00EF03D4" w:rsidRPr="00743E8E" w:rsidRDefault="00EF03D4" w:rsidP="00EF03D4">
            <w:pPr>
              <w:pStyle w:val="TableParagraph"/>
              <w:spacing w:before="8" w:line="276" w:lineRule="auto"/>
              <w:jc w:val="center"/>
              <w:rPr>
                <w:b/>
                <w:sz w:val="20"/>
                <w:szCs w:val="20"/>
              </w:rPr>
            </w:pPr>
            <w:r w:rsidRPr="00743E8E">
              <w:rPr>
                <w:b/>
                <w:sz w:val="20"/>
                <w:szCs w:val="20"/>
              </w:rPr>
              <w:t>M</w:t>
            </w:r>
          </w:p>
        </w:tc>
        <w:tc>
          <w:tcPr>
            <w:tcW w:w="353" w:type="pct"/>
          </w:tcPr>
          <w:p w14:paraId="350C59BC" w14:textId="77777777" w:rsidR="00EF03D4" w:rsidRPr="00743E8E" w:rsidRDefault="00EF03D4" w:rsidP="00EF03D4">
            <w:pPr>
              <w:pStyle w:val="TableParagraph"/>
              <w:spacing w:before="8" w:line="276" w:lineRule="auto"/>
              <w:jc w:val="center"/>
              <w:rPr>
                <w:b/>
                <w:sz w:val="20"/>
                <w:szCs w:val="20"/>
              </w:rPr>
            </w:pPr>
            <w:r w:rsidRPr="00743E8E">
              <w:rPr>
                <w:b/>
                <w:sz w:val="20"/>
                <w:szCs w:val="20"/>
              </w:rPr>
              <w:t>IF</w:t>
            </w:r>
          </w:p>
        </w:tc>
      </w:tr>
      <w:tr w:rsidR="00EF03D4" w:rsidRPr="00743E8E" w14:paraId="1560ACEE" w14:textId="77777777" w:rsidTr="00EF03D4">
        <w:trPr>
          <w:trHeight w:val="227"/>
          <w:jc w:val="center"/>
        </w:trPr>
        <w:tc>
          <w:tcPr>
            <w:tcW w:w="316" w:type="pct"/>
          </w:tcPr>
          <w:p w14:paraId="37A68908" w14:textId="77777777" w:rsidR="00EF03D4" w:rsidRPr="00743E8E" w:rsidRDefault="00EF03D4" w:rsidP="00EF03D4">
            <w:pPr>
              <w:widowControl/>
              <w:numPr>
                <w:ilvl w:val="0"/>
                <w:numId w:val="1"/>
              </w:numPr>
              <w:autoSpaceDE/>
              <w:autoSpaceDN/>
              <w:adjustRightInd/>
              <w:jc w:val="center"/>
              <w:rPr>
                <w:lang w:val="sr-Cyrl-CS"/>
              </w:rPr>
            </w:pPr>
          </w:p>
        </w:tc>
        <w:tc>
          <w:tcPr>
            <w:tcW w:w="3619" w:type="pct"/>
            <w:gridSpan w:val="9"/>
          </w:tcPr>
          <w:p w14:paraId="0AE3C190" w14:textId="6601B17B" w:rsidR="00EF03D4" w:rsidRPr="003960C7" w:rsidRDefault="00EF03D4" w:rsidP="00EF03D4">
            <w:r w:rsidRPr="003960C7">
              <w:rPr>
                <w:b/>
              </w:rPr>
              <w:t>Till</w:t>
            </w:r>
            <w:r w:rsidRPr="003960C7">
              <w:rPr>
                <w:b/>
                <w:lang w:val="sr-Cyrl-CS"/>
              </w:rPr>
              <w:t xml:space="preserve"> </w:t>
            </w:r>
            <w:r w:rsidRPr="003960C7">
              <w:rPr>
                <w:b/>
              </w:rPr>
              <w:t>V</w:t>
            </w:r>
            <w:r w:rsidRPr="003960C7">
              <w:rPr>
                <w:lang w:val="sr-Cyrl-CS"/>
              </w:rPr>
              <w:t>, Đ</w:t>
            </w:r>
            <w:r w:rsidRPr="003960C7">
              <w:t>ur</w:t>
            </w:r>
            <w:r w:rsidRPr="003960C7">
              <w:rPr>
                <w:lang w:val="sr-Cyrl-CS"/>
              </w:rPr>
              <w:t>đ</w:t>
            </w:r>
            <w:r w:rsidRPr="003960C7">
              <w:t>evi</w:t>
            </w:r>
            <w:r w:rsidRPr="003960C7">
              <w:rPr>
                <w:lang w:val="sr-Cyrl-CS"/>
              </w:rPr>
              <w:t xml:space="preserve">ć </w:t>
            </w:r>
            <w:r w:rsidRPr="003960C7">
              <w:t>A</w:t>
            </w:r>
            <w:r w:rsidRPr="003960C7">
              <w:rPr>
                <w:lang w:val="sr-Cyrl-CS"/>
              </w:rPr>
              <w:t xml:space="preserve">, </w:t>
            </w:r>
            <w:r w:rsidRPr="003960C7">
              <w:t>Batini</w:t>
            </w:r>
            <w:r w:rsidRPr="003960C7">
              <w:rPr>
                <w:lang w:val="sr-Cyrl-CS"/>
              </w:rPr>
              <w:t xml:space="preserve">ć </w:t>
            </w:r>
            <w:r w:rsidRPr="003960C7">
              <w:t>N</w:t>
            </w:r>
            <w:r w:rsidRPr="003960C7">
              <w:rPr>
                <w:lang w:val="sr-Cyrl-CS"/>
              </w:rPr>
              <w:t xml:space="preserve">, </w:t>
            </w:r>
            <w:r w:rsidRPr="003960C7">
              <w:t>Rakovi</w:t>
            </w:r>
            <w:r w:rsidRPr="003960C7">
              <w:rPr>
                <w:lang w:val="sr-Cyrl-CS"/>
              </w:rPr>
              <w:t xml:space="preserve">ć </w:t>
            </w:r>
            <w:r w:rsidRPr="003960C7">
              <w:t>N</w:t>
            </w:r>
            <w:r w:rsidRPr="003960C7">
              <w:rPr>
                <w:lang w:val="sr-Cyrl-CS"/>
              </w:rPr>
              <w:t xml:space="preserve">, </w:t>
            </w:r>
            <w:r w:rsidRPr="003960C7">
              <w:t>Ili</w:t>
            </w:r>
            <w:r w:rsidRPr="003960C7">
              <w:rPr>
                <w:lang w:val="sr-Cyrl-CS"/>
              </w:rPr>
              <w:t xml:space="preserve">ć </w:t>
            </w:r>
            <w:r w:rsidRPr="003960C7">
              <w:t>D</w:t>
            </w:r>
            <w:r w:rsidRPr="003960C7">
              <w:rPr>
                <w:lang w:val="sr-Cyrl-CS"/>
              </w:rPr>
              <w:t xml:space="preserve">. </w:t>
            </w:r>
            <w:r w:rsidRPr="003960C7">
              <w:t>Hybrid</w:t>
            </w:r>
            <w:r w:rsidRPr="003960C7">
              <w:rPr>
                <w:lang w:val="sr-Cyrl-CS"/>
              </w:rPr>
              <w:t xml:space="preserve"> </w:t>
            </w:r>
            <w:r w:rsidRPr="003960C7">
              <w:t>endovascular</w:t>
            </w:r>
            <w:r w:rsidRPr="003960C7">
              <w:rPr>
                <w:lang w:val="sr-Cyrl-CS"/>
              </w:rPr>
              <w:t xml:space="preserve"> </w:t>
            </w:r>
            <w:r w:rsidRPr="003960C7">
              <w:t>treatment</w:t>
            </w:r>
            <w:r w:rsidRPr="003960C7">
              <w:rPr>
                <w:lang w:val="sr-Cyrl-CS"/>
              </w:rPr>
              <w:t xml:space="preserve"> </w:t>
            </w:r>
            <w:r w:rsidRPr="003960C7">
              <w:t>of</w:t>
            </w:r>
            <w:r w:rsidRPr="003960C7">
              <w:rPr>
                <w:lang w:val="sr-Cyrl-CS"/>
              </w:rPr>
              <w:t xml:space="preserve"> </w:t>
            </w:r>
            <w:r w:rsidRPr="003960C7">
              <w:t>a</w:t>
            </w:r>
            <w:r w:rsidRPr="003960C7">
              <w:rPr>
                <w:lang w:val="sr-Cyrl-CS"/>
              </w:rPr>
              <w:t xml:space="preserve"> </w:t>
            </w:r>
            <w:r w:rsidRPr="003960C7">
              <w:t>ruptured</w:t>
            </w:r>
            <w:r w:rsidRPr="003960C7">
              <w:rPr>
                <w:lang w:val="sr-Cyrl-CS"/>
              </w:rPr>
              <w:t xml:space="preserve"> </w:t>
            </w:r>
            <w:r w:rsidRPr="003960C7">
              <w:t>abdominal</w:t>
            </w:r>
            <w:r w:rsidRPr="003960C7">
              <w:rPr>
                <w:lang w:val="sr-Cyrl-CS"/>
              </w:rPr>
              <w:t xml:space="preserve"> </w:t>
            </w:r>
            <w:r w:rsidRPr="003960C7">
              <w:t>aortic</w:t>
            </w:r>
            <w:r w:rsidRPr="003960C7">
              <w:rPr>
                <w:lang w:val="sr-Cyrl-CS"/>
              </w:rPr>
              <w:t xml:space="preserve"> </w:t>
            </w:r>
            <w:r w:rsidRPr="003960C7">
              <w:t>aneurysm</w:t>
            </w:r>
            <w:r w:rsidRPr="003960C7">
              <w:rPr>
                <w:lang w:val="sr-Cyrl-CS"/>
              </w:rPr>
              <w:t xml:space="preserve"> </w:t>
            </w:r>
            <w:r w:rsidRPr="003960C7">
              <w:t>in</w:t>
            </w:r>
            <w:r w:rsidRPr="003960C7">
              <w:rPr>
                <w:lang w:val="sr-Cyrl-CS"/>
              </w:rPr>
              <w:t xml:space="preserve"> </w:t>
            </w:r>
            <w:r w:rsidRPr="003960C7">
              <w:t>a</w:t>
            </w:r>
            <w:r w:rsidRPr="003960C7">
              <w:rPr>
                <w:lang w:val="sr-Cyrl-CS"/>
              </w:rPr>
              <w:t xml:space="preserve"> </w:t>
            </w:r>
            <w:r w:rsidRPr="003960C7">
              <w:t>patient</w:t>
            </w:r>
            <w:r w:rsidRPr="003960C7">
              <w:rPr>
                <w:lang w:val="sr-Cyrl-CS"/>
              </w:rPr>
              <w:t xml:space="preserve"> </w:t>
            </w:r>
            <w:r w:rsidRPr="003960C7">
              <w:t>with</w:t>
            </w:r>
            <w:r w:rsidRPr="003960C7">
              <w:rPr>
                <w:lang w:val="sr-Cyrl-CS"/>
              </w:rPr>
              <w:t xml:space="preserve"> </w:t>
            </w:r>
            <w:r w:rsidRPr="003960C7">
              <w:t>small</w:t>
            </w:r>
            <w:r w:rsidRPr="003960C7">
              <w:rPr>
                <w:lang w:val="sr-Cyrl-CS"/>
              </w:rPr>
              <w:t xml:space="preserve"> </w:t>
            </w:r>
            <w:r w:rsidRPr="003960C7">
              <w:t>B</w:t>
            </w:r>
            <w:r w:rsidRPr="003960C7">
              <w:rPr>
                <w:lang w:val="sr-Cyrl-CS"/>
              </w:rPr>
              <w:t>-</w:t>
            </w:r>
            <w:r w:rsidRPr="003960C7">
              <w:t>cell</w:t>
            </w:r>
            <w:r w:rsidRPr="003960C7">
              <w:rPr>
                <w:lang w:val="sr-Cyrl-CS"/>
              </w:rPr>
              <w:t xml:space="preserve"> </w:t>
            </w:r>
            <w:r w:rsidRPr="003960C7">
              <w:t>non</w:t>
            </w:r>
            <w:r w:rsidRPr="003960C7">
              <w:rPr>
                <w:lang w:val="sr-Cyrl-CS"/>
              </w:rPr>
              <w:t>-</w:t>
            </w:r>
            <w:r w:rsidRPr="003960C7">
              <w:t>Hodgkin</w:t>
            </w:r>
            <w:r w:rsidRPr="003960C7">
              <w:rPr>
                <w:lang w:val="sr-Cyrl-CS"/>
              </w:rPr>
              <w:t xml:space="preserve"> </w:t>
            </w:r>
            <w:r w:rsidRPr="003960C7">
              <w:t>lymphoma.</w:t>
            </w:r>
            <w:r w:rsidRPr="003960C7">
              <w:rPr>
                <w:lang w:val="sr-Cyrl-CS"/>
              </w:rPr>
              <w:t xml:space="preserve"> Srp </w:t>
            </w:r>
            <w:r w:rsidRPr="003960C7">
              <w:t>Arh Celok Lek. 2026;</w:t>
            </w:r>
            <w:r w:rsidRPr="003960C7">
              <w:rPr>
                <w:lang w:val="sr-Cyrl-RS"/>
              </w:rPr>
              <w:t xml:space="preserve"> </w:t>
            </w:r>
            <w:r w:rsidRPr="003960C7">
              <w:t>On Line-First Issue 00, 38-38. https</w:t>
            </w:r>
            <w:r w:rsidRPr="003960C7">
              <w:rPr>
                <w:lang w:val="sr-Cyrl-CS"/>
              </w:rPr>
              <w:t>://</w:t>
            </w:r>
            <w:r w:rsidRPr="003960C7">
              <w:t>doi</w:t>
            </w:r>
            <w:r w:rsidRPr="003960C7">
              <w:rPr>
                <w:lang w:val="sr-Cyrl-CS"/>
              </w:rPr>
              <w:t>.</w:t>
            </w:r>
            <w:r w:rsidRPr="003960C7">
              <w:t>org</w:t>
            </w:r>
            <w:r w:rsidRPr="003960C7">
              <w:rPr>
                <w:lang w:val="sr-Cyrl-CS"/>
              </w:rPr>
              <w:t>/10.2298/</w:t>
            </w:r>
            <w:r w:rsidRPr="003960C7">
              <w:t>SARH</w:t>
            </w:r>
            <w:r w:rsidRPr="003960C7">
              <w:rPr>
                <w:lang w:val="sr-Cyrl-CS"/>
              </w:rPr>
              <w:t>260409038</w:t>
            </w:r>
            <w:r w:rsidRPr="003960C7">
              <w:t>T</w:t>
            </w:r>
          </w:p>
        </w:tc>
        <w:tc>
          <w:tcPr>
            <w:tcW w:w="356" w:type="pct"/>
            <w:vAlign w:val="center"/>
          </w:tcPr>
          <w:p w14:paraId="5E8579FE" w14:textId="77777777" w:rsidR="00EF03D4" w:rsidRPr="00A41D2D" w:rsidRDefault="00EF03D4" w:rsidP="00EF03D4">
            <w:pPr>
              <w:pStyle w:val="TableParagraph"/>
              <w:spacing w:before="8" w:line="276" w:lineRule="auto"/>
              <w:jc w:val="center"/>
              <w:rPr>
                <w:sz w:val="20"/>
                <w:szCs w:val="20"/>
                <w:lang w:val="sr-Cyrl-CS"/>
              </w:rPr>
            </w:pPr>
          </w:p>
        </w:tc>
        <w:tc>
          <w:tcPr>
            <w:tcW w:w="356" w:type="pct"/>
            <w:vAlign w:val="center"/>
          </w:tcPr>
          <w:p w14:paraId="41A5E675" w14:textId="77777777" w:rsidR="00EF03D4" w:rsidRPr="00743E8E" w:rsidRDefault="00EF03D4" w:rsidP="00EF03D4">
            <w:pPr>
              <w:pStyle w:val="TableParagraph"/>
              <w:spacing w:before="8" w:line="276" w:lineRule="auto"/>
              <w:jc w:val="center"/>
              <w:rPr>
                <w:sz w:val="20"/>
                <w:szCs w:val="20"/>
              </w:rPr>
            </w:pPr>
            <w:r>
              <w:rPr>
                <w:sz w:val="20"/>
                <w:szCs w:val="20"/>
              </w:rPr>
              <w:t>23</w:t>
            </w:r>
          </w:p>
        </w:tc>
        <w:tc>
          <w:tcPr>
            <w:tcW w:w="353" w:type="pct"/>
            <w:vAlign w:val="center"/>
          </w:tcPr>
          <w:p w14:paraId="1486E089" w14:textId="77777777" w:rsidR="00EF03D4" w:rsidRPr="00743E8E" w:rsidRDefault="00EF03D4" w:rsidP="00EF03D4">
            <w:pPr>
              <w:pStyle w:val="TableParagraph"/>
              <w:spacing w:before="8" w:line="276" w:lineRule="auto"/>
              <w:jc w:val="center"/>
              <w:rPr>
                <w:sz w:val="20"/>
                <w:szCs w:val="20"/>
              </w:rPr>
            </w:pPr>
            <w:r>
              <w:rPr>
                <w:sz w:val="20"/>
                <w:szCs w:val="20"/>
              </w:rPr>
              <w:t>0.2</w:t>
            </w:r>
          </w:p>
        </w:tc>
      </w:tr>
      <w:tr w:rsidR="00EF03D4" w:rsidRPr="00743E8E" w14:paraId="13418601" w14:textId="77777777" w:rsidTr="00EF03D4">
        <w:trPr>
          <w:trHeight w:val="227"/>
          <w:jc w:val="center"/>
        </w:trPr>
        <w:tc>
          <w:tcPr>
            <w:tcW w:w="316" w:type="pct"/>
          </w:tcPr>
          <w:p w14:paraId="38D6F30A" w14:textId="77777777" w:rsidR="00EF03D4" w:rsidRPr="00743E8E" w:rsidRDefault="00EF03D4" w:rsidP="00EF03D4">
            <w:pPr>
              <w:widowControl/>
              <w:numPr>
                <w:ilvl w:val="0"/>
                <w:numId w:val="1"/>
              </w:numPr>
              <w:autoSpaceDE/>
              <w:autoSpaceDN/>
              <w:adjustRightInd/>
              <w:jc w:val="center"/>
              <w:rPr>
                <w:lang w:val="sr-Cyrl-CS"/>
              </w:rPr>
            </w:pPr>
          </w:p>
        </w:tc>
        <w:tc>
          <w:tcPr>
            <w:tcW w:w="3619" w:type="pct"/>
            <w:gridSpan w:val="9"/>
          </w:tcPr>
          <w:p w14:paraId="29369289" w14:textId="77777777" w:rsidR="00EF03D4" w:rsidRPr="003960C7" w:rsidRDefault="00EF03D4" w:rsidP="00EF03D4">
            <w:r w:rsidRPr="003960C7">
              <w:rPr>
                <w:lang w:val="sr-Cyrl-CS"/>
              </w:rPr>
              <w:t>Langhoff R, Vajda Z, Odrowąż-Pieniążek P, Gjoreski A, Beelen R, Deloose K, et al...</w:t>
            </w:r>
            <w:r w:rsidRPr="003960C7">
              <w:rPr>
                <w:b/>
                <w:lang w:val="sr-Cyrl-CS"/>
              </w:rPr>
              <w:t>Till V</w:t>
            </w:r>
            <w:r w:rsidRPr="003960C7">
              <w:rPr>
                <w:lang w:val="sr-Cyrl-CS"/>
              </w:rPr>
              <w:t>, ... 30-Day Outcomes of Real-World Elective Carotid Stenosis Treatment Using a Dual-Layer Micromesh Stent (ROADSAVER Study). Cardiovasc Intervent Radiol. 2025 Apr;48(4):427-37.</w:t>
            </w:r>
          </w:p>
        </w:tc>
        <w:tc>
          <w:tcPr>
            <w:tcW w:w="356" w:type="pct"/>
            <w:vAlign w:val="center"/>
          </w:tcPr>
          <w:p w14:paraId="2DA06BAF" w14:textId="77777777" w:rsidR="00EF03D4" w:rsidRPr="00743E8E" w:rsidRDefault="00EF03D4" w:rsidP="00EF03D4">
            <w:pPr>
              <w:jc w:val="center"/>
            </w:pPr>
          </w:p>
        </w:tc>
        <w:tc>
          <w:tcPr>
            <w:tcW w:w="356" w:type="pct"/>
            <w:vAlign w:val="center"/>
          </w:tcPr>
          <w:p w14:paraId="7E4FF136" w14:textId="77777777" w:rsidR="00EF03D4" w:rsidRPr="00743E8E" w:rsidRDefault="00EF03D4" w:rsidP="00EF03D4">
            <w:pPr>
              <w:jc w:val="center"/>
            </w:pPr>
            <w:r w:rsidRPr="00743E8E">
              <w:t>2</w:t>
            </w:r>
            <w:r>
              <w:t>1</w:t>
            </w:r>
          </w:p>
        </w:tc>
        <w:tc>
          <w:tcPr>
            <w:tcW w:w="353" w:type="pct"/>
            <w:vAlign w:val="center"/>
          </w:tcPr>
          <w:p w14:paraId="5BE5A03F" w14:textId="77777777" w:rsidR="00EF03D4" w:rsidRPr="00743E8E" w:rsidRDefault="00EF03D4" w:rsidP="00EF03D4">
            <w:pPr>
              <w:pStyle w:val="TableParagraph"/>
              <w:spacing w:before="8" w:line="276" w:lineRule="auto"/>
              <w:jc w:val="center"/>
              <w:rPr>
                <w:sz w:val="20"/>
                <w:szCs w:val="20"/>
              </w:rPr>
            </w:pPr>
            <w:r>
              <w:rPr>
                <w:sz w:val="20"/>
                <w:szCs w:val="20"/>
              </w:rPr>
              <w:t>2.9</w:t>
            </w:r>
          </w:p>
        </w:tc>
      </w:tr>
      <w:tr w:rsidR="00EF03D4" w:rsidRPr="00743E8E" w14:paraId="6010CCA1" w14:textId="77777777" w:rsidTr="00EF03D4">
        <w:trPr>
          <w:trHeight w:val="227"/>
          <w:jc w:val="center"/>
        </w:trPr>
        <w:tc>
          <w:tcPr>
            <w:tcW w:w="316" w:type="pct"/>
          </w:tcPr>
          <w:p w14:paraId="53BE842B" w14:textId="77777777" w:rsidR="00EF03D4" w:rsidRPr="00743E8E" w:rsidRDefault="00EF03D4" w:rsidP="00EF03D4">
            <w:pPr>
              <w:widowControl/>
              <w:numPr>
                <w:ilvl w:val="0"/>
                <w:numId w:val="1"/>
              </w:numPr>
              <w:autoSpaceDE/>
              <w:autoSpaceDN/>
              <w:adjustRightInd/>
              <w:jc w:val="center"/>
              <w:rPr>
                <w:lang w:val="sr-Cyrl-CS"/>
              </w:rPr>
            </w:pPr>
          </w:p>
        </w:tc>
        <w:tc>
          <w:tcPr>
            <w:tcW w:w="3619" w:type="pct"/>
            <w:gridSpan w:val="9"/>
          </w:tcPr>
          <w:p w14:paraId="4EE13B1D" w14:textId="77777777" w:rsidR="00EF03D4" w:rsidRPr="003960C7" w:rsidRDefault="00EF03D4" w:rsidP="00EF03D4">
            <w:r w:rsidRPr="003960C7">
              <w:t xml:space="preserve">Nikolić O, Nikolić Basta M, Pantelić M, Lukač S, </w:t>
            </w:r>
            <w:r w:rsidRPr="003960C7">
              <w:rPr>
                <w:b/>
              </w:rPr>
              <w:t>Till V</w:t>
            </w:r>
            <w:r w:rsidRPr="003960C7">
              <w:t>, Stojanović S, et al. Compressed SENSE acceleration factor influence on magnetic resonance image quality in patients with endometrial cancer. Phys Medica. 2025;130:104899</w:t>
            </w:r>
          </w:p>
        </w:tc>
        <w:tc>
          <w:tcPr>
            <w:tcW w:w="356" w:type="pct"/>
            <w:vAlign w:val="center"/>
          </w:tcPr>
          <w:p w14:paraId="31A5AB0B" w14:textId="77777777" w:rsidR="00EF03D4" w:rsidRPr="00743E8E" w:rsidRDefault="00EF03D4" w:rsidP="00EF03D4">
            <w:pPr>
              <w:jc w:val="center"/>
            </w:pPr>
          </w:p>
        </w:tc>
        <w:tc>
          <w:tcPr>
            <w:tcW w:w="356" w:type="pct"/>
            <w:vAlign w:val="center"/>
          </w:tcPr>
          <w:p w14:paraId="3B9F80DD" w14:textId="77777777" w:rsidR="00EF03D4" w:rsidRPr="00743E8E" w:rsidRDefault="00EF03D4" w:rsidP="00EF03D4">
            <w:pPr>
              <w:jc w:val="center"/>
            </w:pPr>
            <w:r w:rsidRPr="00743E8E">
              <w:t>2</w:t>
            </w:r>
            <w:r>
              <w:t>1</w:t>
            </w:r>
          </w:p>
        </w:tc>
        <w:tc>
          <w:tcPr>
            <w:tcW w:w="353" w:type="pct"/>
            <w:vAlign w:val="center"/>
          </w:tcPr>
          <w:p w14:paraId="711F7D24" w14:textId="77777777" w:rsidR="00EF03D4" w:rsidRPr="00743E8E" w:rsidRDefault="00EF03D4" w:rsidP="00EF03D4">
            <w:pPr>
              <w:pStyle w:val="TableParagraph"/>
              <w:spacing w:before="8" w:line="276" w:lineRule="auto"/>
              <w:jc w:val="center"/>
              <w:rPr>
                <w:sz w:val="20"/>
                <w:szCs w:val="20"/>
              </w:rPr>
            </w:pPr>
            <w:r>
              <w:rPr>
                <w:sz w:val="20"/>
                <w:szCs w:val="20"/>
              </w:rPr>
              <w:t>3.3</w:t>
            </w:r>
          </w:p>
        </w:tc>
      </w:tr>
      <w:tr w:rsidR="00EF03D4" w:rsidRPr="00743E8E" w14:paraId="76CF3925" w14:textId="77777777" w:rsidTr="00EF03D4">
        <w:trPr>
          <w:trHeight w:val="227"/>
          <w:jc w:val="center"/>
        </w:trPr>
        <w:tc>
          <w:tcPr>
            <w:tcW w:w="316" w:type="pct"/>
          </w:tcPr>
          <w:p w14:paraId="7F8734BF" w14:textId="77777777" w:rsidR="00EF03D4" w:rsidRPr="00743E8E" w:rsidRDefault="00EF03D4" w:rsidP="00EF03D4">
            <w:pPr>
              <w:widowControl/>
              <w:numPr>
                <w:ilvl w:val="0"/>
                <w:numId w:val="1"/>
              </w:numPr>
              <w:autoSpaceDE/>
              <w:autoSpaceDN/>
              <w:adjustRightInd/>
              <w:jc w:val="center"/>
              <w:rPr>
                <w:lang w:val="sr-Cyrl-CS"/>
              </w:rPr>
            </w:pPr>
          </w:p>
        </w:tc>
        <w:tc>
          <w:tcPr>
            <w:tcW w:w="3619" w:type="pct"/>
            <w:gridSpan w:val="9"/>
          </w:tcPr>
          <w:p w14:paraId="00FF71AF" w14:textId="77777777" w:rsidR="00EF03D4" w:rsidRPr="003960C7" w:rsidRDefault="00EF03D4" w:rsidP="00EF03D4">
            <w:r w:rsidRPr="003960C7">
              <w:t xml:space="preserve">Basta Nikolić M, Nikolić D, Stojanović S, Đurđević S, Nikolić O, </w:t>
            </w:r>
            <w:r w:rsidRPr="003960C7">
              <w:rPr>
                <w:b/>
              </w:rPr>
              <w:t>Till V.</w:t>
            </w:r>
            <w:r w:rsidRPr="003960C7">
              <w:t xml:space="preserve"> Diffusion-weighted magnetic resonance imaging in evaluating malignant lymph node invasion in patients with female genital neoplasms. Vojnosanit Pregl. 2022;79(3):280-7.</w:t>
            </w:r>
          </w:p>
        </w:tc>
        <w:tc>
          <w:tcPr>
            <w:tcW w:w="356" w:type="pct"/>
            <w:vAlign w:val="center"/>
          </w:tcPr>
          <w:p w14:paraId="62B9086F" w14:textId="77777777" w:rsidR="00EF03D4" w:rsidRPr="00743E8E" w:rsidRDefault="00EF03D4" w:rsidP="00EF03D4">
            <w:pPr>
              <w:jc w:val="center"/>
            </w:pPr>
          </w:p>
        </w:tc>
        <w:tc>
          <w:tcPr>
            <w:tcW w:w="356" w:type="pct"/>
            <w:vAlign w:val="center"/>
          </w:tcPr>
          <w:p w14:paraId="6F857D90" w14:textId="77777777" w:rsidR="00EF03D4" w:rsidRPr="00743E8E" w:rsidRDefault="00EF03D4" w:rsidP="00EF03D4">
            <w:pPr>
              <w:jc w:val="center"/>
            </w:pPr>
            <w:r>
              <w:t>23</w:t>
            </w:r>
          </w:p>
        </w:tc>
        <w:tc>
          <w:tcPr>
            <w:tcW w:w="353" w:type="pct"/>
            <w:vAlign w:val="center"/>
          </w:tcPr>
          <w:p w14:paraId="6F2EF08D" w14:textId="77777777" w:rsidR="00EF03D4" w:rsidRPr="00743E8E" w:rsidRDefault="00EF03D4" w:rsidP="00EF03D4">
            <w:pPr>
              <w:pStyle w:val="TableParagraph"/>
              <w:spacing w:before="8" w:line="276" w:lineRule="auto"/>
              <w:jc w:val="center"/>
              <w:rPr>
                <w:sz w:val="20"/>
                <w:szCs w:val="20"/>
              </w:rPr>
            </w:pPr>
            <w:r w:rsidRPr="009A264F">
              <w:rPr>
                <w:sz w:val="20"/>
                <w:szCs w:val="20"/>
              </w:rPr>
              <w:t>0.378</w:t>
            </w:r>
          </w:p>
        </w:tc>
      </w:tr>
      <w:tr w:rsidR="00EF03D4" w:rsidRPr="00743E8E" w14:paraId="472C47E7" w14:textId="77777777" w:rsidTr="00EF03D4">
        <w:trPr>
          <w:trHeight w:val="227"/>
          <w:jc w:val="center"/>
        </w:trPr>
        <w:tc>
          <w:tcPr>
            <w:tcW w:w="316" w:type="pct"/>
          </w:tcPr>
          <w:p w14:paraId="06D03E40" w14:textId="77777777" w:rsidR="00EF03D4" w:rsidRPr="00743E8E" w:rsidRDefault="00EF03D4" w:rsidP="00EF03D4">
            <w:pPr>
              <w:widowControl/>
              <w:numPr>
                <w:ilvl w:val="0"/>
                <w:numId w:val="1"/>
              </w:numPr>
              <w:autoSpaceDE/>
              <w:autoSpaceDN/>
              <w:adjustRightInd/>
              <w:jc w:val="center"/>
              <w:rPr>
                <w:lang w:val="sr-Cyrl-CS"/>
              </w:rPr>
            </w:pPr>
          </w:p>
        </w:tc>
        <w:tc>
          <w:tcPr>
            <w:tcW w:w="3619" w:type="pct"/>
            <w:gridSpan w:val="9"/>
          </w:tcPr>
          <w:p w14:paraId="7DF0CFD3" w14:textId="4219B8FC" w:rsidR="00EF03D4" w:rsidRPr="003960C7" w:rsidRDefault="00EF03D4" w:rsidP="00EF03D4">
            <w:pPr>
              <w:rPr>
                <w:lang w:val="sr-Cyrl-CS"/>
              </w:rPr>
            </w:pPr>
            <w:r w:rsidRPr="003960C7">
              <w:rPr>
                <w:color w:val="000000"/>
                <w:shd w:val="clear" w:color="auto" w:fill="FFFFFF"/>
              </w:rPr>
              <w:t xml:space="preserve">Nikolić D, Basta-Nikolić M, Manojlović V, Živanović Ž, Vicković S, </w:t>
            </w:r>
            <w:r w:rsidRPr="003960C7">
              <w:rPr>
                <w:b/>
                <w:color w:val="000000"/>
                <w:shd w:val="clear" w:color="auto" w:fill="FFFFFF"/>
              </w:rPr>
              <w:t>Til V</w:t>
            </w:r>
            <w:r w:rsidRPr="003960C7">
              <w:rPr>
                <w:color w:val="000000"/>
                <w:shd w:val="clear" w:color="auto" w:fill="FFFFFF"/>
              </w:rPr>
              <w:t>. Cerebral venous sinus thrombosis associated with severe acute respiratory syndrome coronavirus 2 (SARS-CoV-2) infection. Srp Arh Celok Lek. 2021;149(11-12):702-7.</w:t>
            </w:r>
          </w:p>
        </w:tc>
        <w:tc>
          <w:tcPr>
            <w:tcW w:w="356" w:type="pct"/>
            <w:vAlign w:val="center"/>
          </w:tcPr>
          <w:p w14:paraId="1A61C2CC" w14:textId="77777777" w:rsidR="00EF03D4" w:rsidRPr="00743E8E" w:rsidRDefault="00EF03D4" w:rsidP="00EF03D4">
            <w:pPr>
              <w:jc w:val="center"/>
            </w:pPr>
          </w:p>
        </w:tc>
        <w:tc>
          <w:tcPr>
            <w:tcW w:w="356" w:type="pct"/>
            <w:vAlign w:val="center"/>
          </w:tcPr>
          <w:p w14:paraId="337ACA60" w14:textId="77777777" w:rsidR="00EF03D4" w:rsidRPr="00743E8E" w:rsidRDefault="00EF03D4" w:rsidP="00EF03D4">
            <w:pPr>
              <w:jc w:val="center"/>
            </w:pPr>
            <w:r w:rsidRPr="00743E8E">
              <w:t>23</w:t>
            </w:r>
          </w:p>
        </w:tc>
        <w:tc>
          <w:tcPr>
            <w:tcW w:w="353" w:type="pct"/>
            <w:vAlign w:val="center"/>
          </w:tcPr>
          <w:p w14:paraId="08B29C8B" w14:textId="77777777" w:rsidR="00EF03D4" w:rsidRPr="00743E8E" w:rsidRDefault="00EF03D4" w:rsidP="00EF03D4">
            <w:pPr>
              <w:pStyle w:val="TableParagraph"/>
              <w:spacing w:before="8" w:line="276" w:lineRule="auto"/>
              <w:jc w:val="center"/>
              <w:rPr>
                <w:sz w:val="20"/>
                <w:szCs w:val="20"/>
              </w:rPr>
            </w:pPr>
            <w:r w:rsidRPr="005B4EA7">
              <w:rPr>
                <w:sz w:val="20"/>
                <w:szCs w:val="20"/>
              </w:rPr>
              <w:t>0.358</w:t>
            </w:r>
          </w:p>
        </w:tc>
      </w:tr>
      <w:tr w:rsidR="00EF03D4" w:rsidRPr="00743E8E" w14:paraId="594B14A5" w14:textId="77777777" w:rsidTr="00EF03D4">
        <w:trPr>
          <w:trHeight w:val="227"/>
          <w:jc w:val="center"/>
        </w:trPr>
        <w:tc>
          <w:tcPr>
            <w:tcW w:w="316" w:type="pct"/>
          </w:tcPr>
          <w:p w14:paraId="08CF46BB" w14:textId="77777777" w:rsidR="00EF03D4" w:rsidRPr="00743E8E" w:rsidRDefault="00EF03D4" w:rsidP="00EF03D4">
            <w:pPr>
              <w:widowControl/>
              <w:numPr>
                <w:ilvl w:val="0"/>
                <w:numId w:val="1"/>
              </w:numPr>
              <w:autoSpaceDE/>
              <w:autoSpaceDN/>
              <w:adjustRightInd/>
              <w:jc w:val="center"/>
              <w:rPr>
                <w:lang w:val="sr-Cyrl-CS"/>
              </w:rPr>
            </w:pPr>
          </w:p>
        </w:tc>
        <w:tc>
          <w:tcPr>
            <w:tcW w:w="3619" w:type="pct"/>
            <w:gridSpan w:val="9"/>
          </w:tcPr>
          <w:p w14:paraId="12D9374C" w14:textId="77777777" w:rsidR="00EF03D4" w:rsidRPr="003960C7" w:rsidRDefault="00EF03D4" w:rsidP="00EF03D4">
            <w:pPr>
              <w:rPr>
                <w:lang w:val="sr-Cyrl-CS"/>
              </w:rPr>
            </w:pPr>
            <w:r w:rsidRPr="003960C7">
              <w:rPr>
                <w:color w:val="000000"/>
                <w:shd w:val="clear" w:color="auto" w:fill="FFFFFF"/>
              </w:rPr>
              <w:t xml:space="preserve">Molnar U, Nikolov J, Nikolić O, Boban N, Subašić V, </w:t>
            </w:r>
            <w:r w:rsidRPr="003960C7">
              <w:rPr>
                <w:b/>
                <w:color w:val="000000"/>
                <w:shd w:val="clear" w:color="auto" w:fill="FFFFFF"/>
              </w:rPr>
              <w:t>Till V</w:t>
            </w:r>
            <w:r w:rsidRPr="003960C7">
              <w:rPr>
                <w:color w:val="000000"/>
                <w:shd w:val="clear" w:color="auto" w:fill="FFFFFF"/>
              </w:rPr>
              <w:t>. Diagnostic quality assessment of compressed SENSE accelerated magnetic resonance images in standard neuroimaging protocol: Choosing the right acceleration. Phys Med. 2021 Aug;88:158-66.</w:t>
            </w:r>
          </w:p>
        </w:tc>
        <w:tc>
          <w:tcPr>
            <w:tcW w:w="356" w:type="pct"/>
            <w:vAlign w:val="center"/>
          </w:tcPr>
          <w:p w14:paraId="322B1D67" w14:textId="77777777" w:rsidR="00EF03D4" w:rsidRPr="00743E8E" w:rsidRDefault="00EF03D4" w:rsidP="00EF03D4">
            <w:pPr>
              <w:jc w:val="center"/>
            </w:pPr>
          </w:p>
        </w:tc>
        <w:tc>
          <w:tcPr>
            <w:tcW w:w="356" w:type="pct"/>
            <w:vAlign w:val="center"/>
          </w:tcPr>
          <w:p w14:paraId="3B13B423" w14:textId="77777777" w:rsidR="00EF03D4" w:rsidRPr="00743E8E" w:rsidRDefault="00EF03D4" w:rsidP="00EF03D4">
            <w:pPr>
              <w:jc w:val="center"/>
            </w:pPr>
            <w:r>
              <w:t>22</w:t>
            </w:r>
          </w:p>
        </w:tc>
        <w:tc>
          <w:tcPr>
            <w:tcW w:w="353" w:type="pct"/>
            <w:vAlign w:val="center"/>
          </w:tcPr>
          <w:p w14:paraId="7DF273A2" w14:textId="77777777" w:rsidR="00EF03D4" w:rsidRPr="00743E8E" w:rsidRDefault="00EF03D4" w:rsidP="00EF03D4">
            <w:pPr>
              <w:pStyle w:val="TableParagraph"/>
              <w:spacing w:before="8" w:line="276" w:lineRule="auto"/>
              <w:jc w:val="center"/>
              <w:rPr>
                <w:sz w:val="20"/>
                <w:szCs w:val="20"/>
              </w:rPr>
            </w:pPr>
            <w:r w:rsidRPr="005B4EA7">
              <w:rPr>
                <w:sz w:val="20"/>
                <w:szCs w:val="20"/>
              </w:rPr>
              <w:t>3.119</w:t>
            </w:r>
          </w:p>
        </w:tc>
      </w:tr>
      <w:tr w:rsidR="00EF03D4" w:rsidRPr="00743E8E" w14:paraId="6C61181C" w14:textId="77777777" w:rsidTr="00EF03D4">
        <w:trPr>
          <w:trHeight w:val="227"/>
          <w:jc w:val="center"/>
        </w:trPr>
        <w:tc>
          <w:tcPr>
            <w:tcW w:w="316" w:type="pct"/>
          </w:tcPr>
          <w:p w14:paraId="3063F574" w14:textId="77777777" w:rsidR="00EF03D4" w:rsidRPr="00743E8E" w:rsidRDefault="00EF03D4" w:rsidP="00EF03D4">
            <w:pPr>
              <w:widowControl/>
              <w:numPr>
                <w:ilvl w:val="0"/>
                <w:numId w:val="1"/>
              </w:numPr>
              <w:autoSpaceDE/>
              <w:autoSpaceDN/>
              <w:adjustRightInd/>
              <w:jc w:val="center"/>
              <w:rPr>
                <w:lang w:val="sr-Cyrl-CS"/>
              </w:rPr>
            </w:pPr>
          </w:p>
        </w:tc>
        <w:tc>
          <w:tcPr>
            <w:tcW w:w="3619" w:type="pct"/>
            <w:gridSpan w:val="9"/>
          </w:tcPr>
          <w:p w14:paraId="05CC321E" w14:textId="77777777" w:rsidR="00EF03D4" w:rsidRPr="003960C7" w:rsidRDefault="00EF03D4" w:rsidP="00EF03D4">
            <w:r w:rsidRPr="003960C7">
              <w:rPr>
                <w:lang w:val="sr-Cyrl-CS"/>
              </w:rPr>
              <w:t xml:space="preserve">Mrđanin T, Nikolić O, Molnar U, Mitrović M, </w:t>
            </w:r>
            <w:r w:rsidRPr="003960C7">
              <w:rPr>
                <w:b/>
                <w:lang w:val="sr-Cyrl-CS"/>
              </w:rPr>
              <w:t>Till V</w:t>
            </w:r>
            <w:r w:rsidRPr="003960C7">
              <w:rPr>
                <w:lang w:val="sr-Cyrl-CS"/>
              </w:rPr>
              <w:t>. Diffusion-weighted imaging in the assessment of renal function in patients with diabetes mellitus type 2. MAGMA. 2021 Apr;34(2):273-83.</w:t>
            </w:r>
          </w:p>
        </w:tc>
        <w:tc>
          <w:tcPr>
            <w:tcW w:w="356" w:type="pct"/>
            <w:vAlign w:val="center"/>
          </w:tcPr>
          <w:p w14:paraId="05AB6D9D" w14:textId="77777777" w:rsidR="00EF03D4" w:rsidRPr="00743E8E" w:rsidRDefault="00EF03D4" w:rsidP="00EF03D4">
            <w:pPr>
              <w:jc w:val="center"/>
            </w:pPr>
          </w:p>
        </w:tc>
        <w:tc>
          <w:tcPr>
            <w:tcW w:w="356" w:type="pct"/>
            <w:vAlign w:val="center"/>
          </w:tcPr>
          <w:p w14:paraId="1C98C2CE" w14:textId="77777777" w:rsidR="00EF03D4" w:rsidRPr="00743E8E" w:rsidRDefault="00EF03D4" w:rsidP="00EF03D4">
            <w:pPr>
              <w:jc w:val="center"/>
            </w:pPr>
            <w:r w:rsidRPr="00743E8E">
              <w:t>2</w:t>
            </w:r>
            <w:r>
              <w:t>2</w:t>
            </w:r>
          </w:p>
        </w:tc>
        <w:tc>
          <w:tcPr>
            <w:tcW w:w="353" w:type="pct"/>
            <w:vAlign w:val="center"/>
          </w:tcPr>
          <w:p w14:paraId="2B76171A" w14:textId="77777777" w:rsidR="00EF03D4" w:rsidRPr="00743E8E" w:rsidRDefault="00EF03D4" w:rsidP="00EF03D4">
            <w:pPr>
              <w:pStyle w:val="TableParagraph"/>
              <w:spacing w:before="8" w:line="276" w:lineRule="auto"/>
              <w:jc w:val="center"/>
              <w:rPr>
                <w:sz w:val="20"/>
                <w:szCs w:val="20"/>
              </w:rPr>
            </w:pPr>
            <w:r w:rsidRPr="005B4EA7">
              <w:rPr>
                <w:sz w:val="20"/>
                <w:szCs w:val="20"/>
              </w:rPr>
              <w:t>2.671</w:t>
            </w:r>
          </w:p>
        </w:tc>
      </w:tr>
      <w:tr w:rsidR="00EF03D4" w:rsidRPr="00743E8E" w14:paraId="0FDDFC44" w14:textId="77777777" w:rsidTr="00EF03D4">
        <w:trPr>
          <w:trHeight w:val="227"/>
          <w:jc w:val="center"/>
        </w:trPr>
        <w:tc>
          <w:tcPr>
            <w:tcW w:w="316" w:type="pct"/>
          </w:tcPr>
          <w:p w14:paraId="63E6D7F1" w14:textId="77777777" w:rsidR="00EF03D4" w:rsidRPr="00743E8E" w:rsidRDefault="00EF03D4" w:rsidP="00EF03D4">
            <w:pPr>
              <w:widowControl/>
              <w:numPr>
                <w:ilvl w:val="0"/>
                <w:numId w:val="1"/>
              </w:numPr>
              <w:autoSpaceDE/>
              <w:autoSpaceDN/>
              <w:adjustRightInd/>
              <w:jc w:val="center"/>
              <w:rPr>
                <w:lang w:val="sr-Cyrl-CS"/>
              </w:rPr>
            </w:pPr>
          </w:p>
        </w:tc>
        <w:tc>
          <w:tcPr>
            <w:tcW w:w="3619" w:type="pct"/>
            <w:gridSpan w:val="9"/>
          </w:tcPr>
          <w:p w14:paraId="29F71670" w14:textId="77777777" w:rsidR="00EF03D4" w:rsidRPr="003960C7" w:rsidRDefault="00EF03D4" w:rsidP="00EF03D4">
            <w:r w:rsidRPr="003960C7">
              <w:t xml:space="preserve">Stojić I, Ilić D, Juković M, Vujanović M, Čanak I, </w:t>
            </w:r>
            <w:r w:rsidRPr="003960C7">
              <w:rPr>
                <w:b/>
              </w:rPr>
              <w:t>Till V</w:t>
            </w:r>
            <w:r w:rsidRPr="003960C7">
              <w:t>. Focal brain lesions as a consequence of an obscure neurosurgical treatment in a drug-addicted patient. Srp Arh Celok Lek. 2020;148(2-3):223-6.</w:t>
            </w:r>
          </w:p>
        </w:tc>
        <w:tc>
          <w:tcPr>
            <w:tcW w:w="356" w:type="pct"/>
            <w:vAlign w:val="center"/>
          </w:tcPr>
          <w:p w14:paraId="07249105" w14:textId="77777777" w:rsidR="00EF03D4" w:rsidRPr="00743E8E" w:rsidRDefault="00EF03D4" w:rsidP="00EF03D4">
            <w:pPr>
              <w:jc w:val="center"/>
            </w:pPr>
          </w:p>
        </w:tc>
        <w:tc>
          <w:tcPr>
            <w:tcW w:w="356" w:type="pct"/>
            <w:vAlign w:val="center"/>
          </w:tcPr>
          <w:p w14:paraId="20DC277D" w14:textId="77777777" w:rsidR="00EF03D4" w:rsidRPr="00743E8E" w:rsidRDefault="00EF03D4" w:rsidP="00EF03D4">
            <w:pPr>
              <w:jc w:val="center"/>
            </w:pPr>
            <w:r>
              <w:t>23</w:t>
            </w:r>
          </w:p>
        </w:tc>
        <w:tc>
          <w:tcPr>
            <w:tcW w:w="353" w:type="pct"/>
            <w:vAlign w:val="center"/>
          </w:tcPr>
          <w:p w14:paraId="38E3A281" w14:textId="50DF66AC" w:rsidR="00EF03D4" w:rsidRPr="00743E8E" w:rsidRDefault="00EF03D4" w:rsidP="00EF03D4">
            <w:pPr>
              <w:pStyle w:val="TableParagraph"/>
              <w:spacing w:before="8" w:line="276" w:lineRule="auto"/>
              <w:jc w:val="center"/>
              <w:rPr>
                <w:sz w:val="20"/>
                <w:szCs w:val="20"/>
              </w:rPr>
            </w:pPr>
            <w:r w:rsidRPr="008F5090">
              <w:rPr>
                <w:sz w:val="20"/>
                <w:szCs w:val="20"/>
              </w:rPr>
              <w:t>0.3</w:t>
            </w:r>
            <w:r>
              <w:rPr>
                <w:sz w:val="20"/>
                <w:szCs w:val="20"/>
              </w:rPr>
              <w:t>93</w:t>
            </w:r>
          </w:p>
        </w:tc>
      </w:tr>
      <w:tr w:rsidR="00EF03D4" w:rsidRPr="00743E8E" w14:paraId="45A3882F" w14:textId="77777777" w:rsidTr="00EF03D4">
        <w:trPr>
          <w:trHeight w:val="227"/>
          <w:jc w:val="center"/>
        </w:trPr>
        <w:tc>
          <w:tcPr>
            <w:tcW w:w="316" w:type="pct"/>
          </w:tcPr>
          <w:p w14:paraId="52238888" w14:textId="77777777" w:rsidR="00EF03D4" w:rsidRPr="00743E8E" w:rsidRDefault="00EF03D4" w:rsidP="00EF03D4">
            <w:pPr>
              <w:widowControl/>
              <w:numPr>
                <w:ilvl w:val="0"/>
                <w:numId w:val="1"/>
              </w:numPr>
              <w:autoSpaceDE/>
              <w:autoSpaceDN/>
              <w:adjustRightInd/>
              <w:jc w:val="center"/>
              <w:rPr>
                <w:lang w:val="sr-Cyrl-CS"/>
              </w:rPr>
            </w:pPr>
          </w:p>
        </w:tc>
        <w:tc>
          <w:tcPr>
            <w:tcW w:w="3619" w:type="pct"/>
            <w:gridSpan w:val="9"/>
          </w:tcPr>
          <w:p w14:paraId="38399C5A" w14:textId="77777777" w:rsidR="00EF03D4" w:rsidRPr="003960C7" w:rsidRDefault="00EF03D4" w:rsidP="00EF03D4">
            <w:pPr>
              <w:rPr>
                <w:lang w:val="sr-Cyrl-CS"/>
              </w:rPr>
            </w:pPr>
            <w:r w:rsidRPr="003960C7">
              <w:rPr>
                <w:color w:val="000000"/>
                <w:shd w:val="clear" w:color="auto" w:fill="FFFFFF"/>
              </w:rPr>
              <w:t xml:space="preserve">Botar CC, Tóth ÁÁ, Klisurić OR, Nićiforović DD, Vučaj Ćirilović VA, </w:t>
            </w:r>
            <w:r w:rsidRPr="003960C7">
              <w:rPr>
                <w:b/>
                <w:color w:val="000000"/>
                <w:shd w:val="clear" w:color="auto" w:fill="FFFFFF"/>
              </w:rPr>
              <w:t>Till VE</w:t>
            </w:r>
            <w:r w:rsidRPr="003960C7">
              <w:rPr>
                <w:color w:val="000000"/>
                <w:shd w:val="clear" w:color="auto" w:fill="FFFFFF"/>
              </w:rPr>
              <w:t>. Dynamic simulation and Doppler Ultrasonography validation of blood flow behavior in Abdominal Aortic Aneurysm. Phys Med. 2017 May;37:1-8.</w:t>
            </w:r>
          </w:p>
        </w:tc>
        <w:tc>
          <w:tcPr>
            <w:tcW w:w="356" w:type="pct"/>
            <w:vAlign w:val="center"/>
          </w:tcPr>
          <w:p w14:paraId="15300576" w14:textId="77777777" w:rsidR="00EF03D4" w:rsidRPr="00743E8E" w:rsidRDefault="00EF03D4" w:rsidP="00EF03D4">
            <w:pPr>
              <w:jc w:val="center"/>
            </w:pPr>
          </w:p>
        </w:tc>
        <w:tc>
          <w:tcPr>
            <w:tcW w:w="356" w:type="pct"/>
            <w:vAlign w:val="center"/>
          </w:tcPr>
          <w:p w14:paraId="6E4E2E65" w14:textId="77777777" w:rsidR="00EF03D4" w:rsidRPr="00743E8E" w:rsidRDefault="00EF03D4" w:rsidP="00EF03D4">
            <w:pPr>
              <w:jc w:val="center"/>
            </w:pPr>
            <w:r w:rsidRPr="00743E8E">
              <w:t>2</w:t>
            </w:r>
            <w:r>
              <w:t>2</w:t>
            </w:r>
          </w:p>
        </w:tc>
        <w:tc>
          <w:tcPr>
            <w:tcW w:w="353" w:type="pct"/>
            <w:vAlign w:val="center"/>
          </w:tcPr>
          <w:p w14:paraId="4856D12D" w14:textId="77777777" w:rsidR="00EF03D4" w:rsidRPr="00743E8E" w:rsidRDefault="00EF03D4" w:rsidP="00EF03D4">
            <w:pPr>
              <w:pStyle w:val="TableParagraph"/>
              <w:spacing w:before="8" w:line="276" w:lineRule="auto"/>
              <w:jc w:val="center"/>
              <w:rPr>
                <w:sz w:val="20"/>
                <w:szCs w:val="20"/>
              </w:rPr>
            </w:pPr>
            <w:r w:rsidRPr="008F5090">
              <w:rPr>
                <w:sz w:val="20"/>
                <w:szCs w:val="20"/>
              </w:rPr>
              <w:t>2.240</w:t>
            </w:r>
          </w:p>
        </w:tc>
      </w:tr>
      <w:tr w:rsidR="00EF03D4" w:rsidRPr="00743E8E" w14:paraId="0232EFFC" w14:textId="77777777" w:rsidTr="00EF03D4">
        <w:trPr>
          <w:trHeight w:val="227"/>
          <w:jc w:val="center"/>
        </w:trPr>
        <w:tc>
          <w:tcPr>
            <w:tcW w:w="316" w:type="pct"/>
          </w:tcPr>
          <w:p w14:paraId="2DAC4EF0" w14:textId="77777777" w:rsidR="00EF03D4" w:rsidRPr="00743E8E" w:rsidRDefault="00EF03D4" w:rsidP="00EF03D4">
            <w:pPr>
              <w:widowControl/>
              <w:numPr>
                <w:ilvl w:val="0"/>
                <w:numId w:val="1"/>
              </w:numPr>
              <w:autoSpaceDE/>
              <w:autoSpaceDN/>
              <w:adjustRightInd/>
              <w:jc w:val="center"/>
              <w:rPr>
                <w:lang w:val="sr-Cyrl-CS"/>
              </w:rPr>
            </w:pPr>
          </w:p>
        </w:tc>
        <w:tc>
          <w:tcPr>
            <w:tcW w:w="3619" w:type="pct"/>
            <w:gridSpan w:val="9"/>
          </w:tcPr>
          <w:p w14:paraId="465D1B30" w14:textId="77777777" w:rsidR="00EF03D4" w:rsidRPr="003960C7" w:rsidRDefault="00EF03D4" w:rsidP="00EF03D4">
            <w:pPr>
              <w:rPr>
                <w:color w:val="000000"/>
                <w:shd w:val="clear" w:color="auto" w:fill="FFFFFF"/>
              </w:rPr>
            </w:pPr>
            <w:r w:rsidRPr="003960C7">
              <w:rPr>
                <w:color w:val="000000"/>
                <w:shd w:val="clear" w:color="auto" w:fill="FFFFFF"/>
              </w:rPr>
              <w:t xml:space="preserve">Nićiforović D, </w:t>
            </w:r>
            <w:r w:rsidRPr="003960C7">
              <w:rPr>
                <w:b/>
                <w:color w:val="000000"/>
                <w:shd w:val="clear" w:color="auto" w:fill="FFFFFF"/>
              </w:rPr>
              <w:t>Till V</w:t>
            </w:r>
            <w:r w:rsidRPr="003960C7">
              <w:rPr>
                <w:color w:val="000000"/>
                <w:shd w:val="clear" w:color="auto" w:fill="FFFFFF"/>
              </w:rPr>
              <w:t>, Vučaj Ćirilović V, Petrović K, Juković M, Hadnađev Simonji D, et al. The role of the color Doppler ultrasonography and computed tomography in estimation of portal hypertension. Srp Arh Celok Lek. 2016;144(11-12):602-7.</w:t>
            </w:r>
          </w:p>
        </w:tc>
        <w:tc>
          <w:tcPr>
            <w:tcW w:w="356" w:type="pct"/>
            <w:vAlign w:val="center"/>
          </w:tcPr>
          <w:p w14:paraId="7CE8DDA5" w14:textId="77777777" w:rsidR="00EF03D4" w:rsidRPr="00743E8E" w:rsidRDefault="00EF03D4" w:rsidP="00EF03D4">
            <w:pPr>
              <w:jc w:val="center"/>
            </w:pPr>
          </w:p>
        </w:tc>
        <w:tc>
          <w:tcPr>
            <w:tcW w:w="356" w:type="pct"/>
            <w:vAlign w:val="center"/>
          </w:tcPr>
          <w:p w14:paraId="0C8C01A6" w14:textId="77777777" w:rsidR="00EF03D4" w:rsidRPr="00743E8E" w:rsidRDefault="00EF03D4" w:rsidP="00EF03D4">
            <w:pPr>
              <w:jc w:val="center"/>
            </w:pPr>
            <w:r>
              <w:t>23</w:t>
            </w:r>
          </w:p>
        </w:tc>
        <w:tc>
          <w:tcPr>
            <w:tcW w:w="353" w:type="pct"/>
            <w:vAlign w:val="center"/>
          </w:tcPr>
          <w:p w14:paraId="7227F6C6" w14:textId="77777777" w:rsidR="00EF03D4" w:rsidRPr="008F5090" w:rsidRDefault="00EF03D4" w:rsidP="00EF03D4">
            <w:pPr>
              <w:pStyle w:val="TableParagraph"/>
              <w:spacing w:before="8" w:line="276" w:lineRule="auto"/>
              <w:jc w:val="center"/>
              <w:rPr>
                <w:sz w:val="20"/>
                <w:szCs w:val="20"/>
              </w:rPr>
            </w:pPr>
            <w:r w:rsidRPr="008F5090">
              <w:rPr>
                <w:sz w:val="20"/>
                <w:szCs w:val="20"/>
              </w:rPr>
              <w:t>0.294</w:t>
            </w:r>
          </w:p>
        </w:tc>
      </w:tr>
      <w:tr w:rsidR="00EF03D4" w:rsidRPr="00743E8E" w14:paraId="21C7FF79" w14:textId="77777777" w:rsidTr="00494424">
        <w:trPr>
          <w:trHeight w:val="227"/>
          <w:jc w:val="center"/>
        </w:trPr>
        <w:tc>
          <w:tcPr>
            <w:tcW w:w="5000" w:type="pct"/>
            <w:gridSpan w:val="13"/>
            <w:vAlign w:val="center"/>
          </w:tcPr>
          <w:p w14:paraId="772D594E" w14:textId="77777777" w:rsidR="00EF03D4" w:rsidRPr="00743E8E" w:rsidRDefault="00EF03D4" w:rsidP="00EF03D4">
            <w:pPr>
              <w:spacing w:after="60"/>
              <w:rPr>
                <w:b/>
                <w:lang w:val="sr-Cyrl-CS"/>
              </w:rPr>
            </w:pPr>
            <w:r w:rsidRPr="00743E8E">
              <w:rPr>
                <w:b/>
                <w:lang w:val="sr-Cyrl-CS"/>
              </w:rPr>
              <w:t>Збирни подаци научне активност наставника</w:t>
            </w:r>
          </w:p>
        </w:tc>
      </w:tr>
      <w:tr w:rsidR="00EF03D4" w:rsidRPr="00743E8E" w14:paraId="7B1B9F3F" w14:textId="77777777" w:rsidTr="00494424">
        <w:trPr>
          <w:trHeight w:val="227"/>
          <w:jc w:val="center"/>
        </w:trPr>
        <w:tc>
          <w:tcPr>
            <w:tcW w:w="5000" w:type="pct"/>
            <w:gridSpan w:val="13"/>
            <w:vAlign w:val="center"/>
          </w:tcPr>
          <w:p w14:paraId="10A0925C" w14:textId="77777777" w:rsidR="00EF03D4" w:rsidRPr="00743E8E" w:rsidRDefault="00EF03D4" w:rsidP="00EF03D4">
            <w:pPr>
              <w:spacing w:after="60"/>
              <w:rPr>
                <w:b/>
                <w:lang w:val="sr-Cyrl-CS"/>
              </w:rPr>
            </w:pPr>
            <w:r w:rsidRPr="00743E8E">
              <w:rPr>
                <w:b/>
                <w:lang w:val="sr-Cyrl-CS"/>
              </w:rPr>
              <w:t xml:space="preserve">Збирни подаци </w:t>
            </w:r>
            <w:r w:rsidRPr="00743E8E">
              <w:rPr>
                <w:b/>
              </w:rPr>
              <w:t xml:space="preserve">уметничке </w:t>
            </w:r>
            <w:r w:rsidRPr="00743E8E">
              <w:rPr>
                <w:b/>
                <w:lang w:val="sr-Cyrl-CS"/>
              </w:rPr>
              <w:t xml:space="preserve"> активност наставника</w:t>
            </w:r>
          </w:p>
        </w:tc>
      </w:tr>
      <w:tr w:rsidR="00EF03D4" w:rsidRPr="00743E8E" w14:paraId="66913FEF" w14:textId="77777777" w:rsidTr="00C00544">
        <w:trPr>
          <w:trHeight w:val="227"/>
          <w:jc w:val="center"/>
        </w:trPr>
        <w:tc>
          <w:tcPr>
            <w:tcW w:w="2886" w:type="pct"/>
            <w:gridSpan w:val="6"/>
            <w:vAlign w:val="center"/>
          </w:tcPr>
          <w:p w14:paraId="6DB92D31" w14:textId="77777777" w:rsidR="00EF03D4" w:rsidRPr="00743E8E" w:rsidRDefault="00EF03D4" w:rsidP="00EF03D4">
            <w:pPr>
              <w:spacing w:after="60"/>
              <w:rPr>
                <w:lang w:val="sr-Cyrl-CS"/>
              </w:rPr>
            </w:pPr>
            <w:r w:rsidRPr="00743E8E">
              <w:rPr>
                <w:lang w:val="sr-Cyrl-CS"/>
              </w:rPr>
              <w:t>Укупан број цитата, без аутоцитата</w:t>
            </w:r>
          </w:p>
        </w:tc>
        <w:tc>
          <w:tcPr>
            <w:tcW w:w="2114" w:type="pct"/>
            <w:gridSpan w:val="7"/>
          </w:tcPr>
          <w:p w14:paraId="7407B3FF" w14:textId="77777777" w:rsidR="00EF03D4" w:rsidRPr="00743E8E" w:rsidRDefault="00EF03D4" w:rsidP="00EF03D4">
            <w:pPr>
              <w:rPr>
                <w:lang w:val="sr-Cyrl-CS"/>
              </w:rPr>
            </w:pPr>
            <w:r>
              <w:t>68</w:t>
            </w:r>
          </w:p>
        </w:tc>
      </w:tr>
      <w:tr w:rsidR="00EF03D4" w:rsidRPr="00743E8E" w14:paraId="26279885" w14:textId="77777777" w:rsidTr="00C00544">
        <w:trPr>
          <w:trHeight w:val="227"/>
          <w:jc w:val="center"/>
        </w:trPr>
        <w:tc>
          <w:tcPr>
            <w:tcW w:w="2886" w:type="pct"/>
            <w:gridSpan w:val="6"/>
            <w:vAlign w:val="center"/>
          </w:tcPr>
          <w:p w14:paraId="6D4EAF3B" w14:textId="77777777" w:rsidR="00EF03D4" w:rsidRPr="00743E8E" w:rsidRDefault="00EF03D4" w:rsidP="00EF03D4">
            <w:pPr>
              <w:spacing w:after="60"/>
              <w:rPr>
                <w:lang w:val="sr-Cyrl-CS"/>
              </w:rPr>
            </w:pPr>
            <w:r w:rsidRPr="00743E8E">
              <w:rPr>
                <w:lang w:val="sr-Cyrl-CS"/>
              </w:rPr>
              <w:t>Укупан број радова са SCI (или SSCI) листе</w:t>
            </w:r>
          </w:p>
        </w:tc>
        <w:tc>
          <w:tcPr>
            <w:tcW w:w="2114" w:type="pct"/>
            <w:gridSpan w:val="7"/>
            <w:vAlign w:val="center"/>
          </w:tcPr>
          <w:p w14:paraId="7EA54A7D" w14:textId="77777777" w:rsidR="00EF03D4" w:rsidRPr="00743E8E" w:rsidRDefault="00EF03D4" w:rsidP="00EF03D4">
            <w:pPr>
              <w:spacing w:after="60"/>
              <w:rPr>
                <w:b/>
                <w:lang w:val="sr-Cyrl-CS"/>
              </w:rPr>
            </w:pPr>
            <w:r>
              <w:t>22</w:t>
            </w:r>
          </w:p>
        </w:tc>
      </w:tr>
      <w:tr w:rsidR="00EF03D4" w:rsidRPr="00743E8E" w14:paraId="31C941FC" w14:textId="77777777" w:rsidTr="00C00544">
        <w:trPr>
          <w:trHeight w:val="227"/>
          <w:jc w:val="center"/>
        </w:trPr>
        <w:tc>
          <w:tcPr>
            <w:tcW w:w="2886" w:type="pct"/>
            <w:gridSpan w:val="6"/>
            <w:vAlign w:val="center"/>
          </w:tcPr>
          <w:p w14:paraId="5812EA93" w14:textId="77777777" w:rsidR="00EF03D4" w:rsidRPr="00743E8E" w:rsidRDefault="00EF03D4" w:rsidP="00EF03D4">
            <w:pPr>
              <w:spacing w:after="60"/>
              <w:rPr>
                <w:b/>
                <w:lang w:val="sr-Cyrl-CS"/>
              </w:rPr>
            </w:pPr>
            <w:r w:rsidRPr="00743E8E">
              <w:rPr>
                <w:lang w:val="sr-Cyrl-CS"/>
              </w:rPr>
              <w:t>Тренутно учешће на пројектима</w:t>
            </w:r>
          </w:p>
        </w:tc>
        <w:tc>
          <w:tcPr>
            <w:tcW w:w="673" w:type="pct"/>
            <w:gridSpan w:val="2"/>
            <w:vAlign w:val="center"/>
          </w:tcPr>
          <w:p w14:paraId="68BDF572" w14:textId="77777777" w:rsidR="00EF03D4" w:rsidRPr="00743E8E" w:rsidRDefault="00EF03D4" w:rsidP="00EF03D4">
            <w:pPr>
              <w:spacing w:after="60"/>
              <w:rPr>
                <w:b/>
                <w:lang w:val="sr-Cyrl-CS"/>
              </w:rPr>
            </w:pPr>
            <w:r w:rsidRPr="00743E8E">
              <w:rPr>
                <w:lang w:val="sr-Cyrl-CS"/>
              </w:rPr>
              <w:t>Домаћи</w:t>
            </w:r>
            <w:r w:rsidRPr="00743E8E">
              <w:t>:</w:t>
            </w:r>
            <w:r w:rsidRPr="00743E8E">
              <w:rPr>
                <w:lang w:val="sr-Cyrl-CS"/>
              </w:rPr>
              <w:t xml:space="preserve"> 1</w:t>
            </w:r>
          </w:p>
        </w:tc>
        <w:tc>
          <w:tcPr>
            <w:tcW w:w="1442" w:type="pct"/>
            <w:gridSpan w:val="5"/>
            <w:vAlign w:val="center"/>
          </w:tcPr>
          <w:p w14:paraId="5A7E13C5" w14:textId="77777777" w:rsidR="00EF03D4" w:rsidRPr="00743E8E" w:rsidRDefault="00EF03D4" w:rsidP="00EF03D4">
            <w:pPr>
              <w:spacing w:after="60"/>
              <w:rPr>
                <w:b/>
                <w:lang w:val="sr-Cyrl-CS"/>
              </w:rPr>
            </w:pPr>
            <w:r w:rsidRPr="00743E8E">
              <w:rPr>
                <w:lang w:val="sr-Cyrl-CS"/>
              </w:rPr>
              <w:t>Међународни</w:t>
            </w:r>
            <w:r w:rsidRPr="00743E8E">
              <w:t>:</w:t>
            </w:r>
            <w:r w:rsidRPr="00743E8E">
              <w:rPr>
                <w:lang w:val="sr-Cyrl-CS"/>
              </w:rPr>
              <w:t xml:space="preserve"> 3</w:t>
            </w:r>
          </w:p>
        </w:tc>
      </w:tr>
      <w:tr w:rsidR="00EF03D4" w:rsidRPr="00743E8E" w14:paraId="740D3FA5" w14:textId="77777777" w:rsidTr="00C00544">
        <w:trPr>
          <w:trHeight w:val="227"/>
          <w:jc w:val="center"/>
        </w:trPr>
        <w:tc>
          <w:tcPr>
            <w:tcW w:w="2886" w:type="pct"/>
            <w:gridSpan w:val="6"/>
            <w:vAlign w:val="center"/>
          </w:tcPr>
          <w:p w14:paraId="10F53D16" w14:textId="77777777" w:rsidR="00EF03D4" w:rsidRPr="00743E8E" w:rsidRDefault="00EF03D4" w:rsidP="00EF03D4">
            <w:pPr>
              <w:spacing w:after="60"/>
              <w:rPr>
                <w:b/>
                <w:lang w:val="sr-Cyrl-CS"/>
              </w:rPr>
            </w:pPr>
            <w:r w:rsidRPr="00743E8E">
              <w:rPr>
                <w:lang w:val="sr-Cyrl-CS"/>
              </w:rPr>
              <w:t>Усавршавања</w:t>
            </w:r>
          </w:p>
        </w:tc>
        <w:tc>
          <w:tcPr>
            <w:tcW w:w="2114" w:type="pct"/>
            <w:gridSpan w:val="7"/>
            <w:vAlign w:val="center"/>
          </w:tcPr>
          <w:p w14:paraId="2B3534FC" w14:textId="77777777" w:rsidR="00EF03D4" w:rsidRPr="00743E8E" w:rsidRDefault="00EF03D4" w:rsidP="00EF03D4">
            <w:r w:rsidRPr="00743E8E">
              <w:t xml:space="preserve">- 1995. Салзбург, Soroš фондација. Radiological imaging,  Prof. Deck,New York. </w:t>
            </w:r>
          </w:p>
          <w:p w14:paraId="333E5FAB" w14:textId="77777777" w:rsidR="00EF03D4" w:rsidRPr="00743E8E" w:rsidRDefault="00EF03D4" w:rsidP="00EF03D4">
            <w:r w:rsidRPr="00743E8E">
              <w:t>- 2000. Беч, у оквиру Soros фондације AKH болница Wien, курс интервентне радиологије, Head of dpt. for interventional radiology Prof. H. Lammer,</w:t>
            </w:r>
          </w:p>
          <w:p w14:paraId="7AE8FED4" w14:textId="77777777" w:rsidR="00EF03D4" w:rsidRPr="00743E8E" w:rsidRDefault="00EF03D4" w:rsidP="00EF03D4">
            <w:pPr>
              <w:rPr>
                <w:lang w:val="pl-PL"/>
              </w:rPr>
            </w:pPr>
            <w:r w:rsidRPr="00743E8E">
              <w:rPr>
                <w:lang w:val="pl-PL"/>
              </w:rPr>
              <w:t>-</w:t>
            </w:r>
            <w:r w:rsidRPr="00743E8E">
              <w:t xml:space="preserve"> 2000.</w:t>
            </w:r>
            <w:r w:rsidRPr="00743E8E">
              <w:rPr>
                <w:lang w:val="pl-PL"/>
              </w:rPr>
              <w:t xml:space="preserve"> Курс интервентне радиологије, Клинички центар Љубљана, Проф. В. Jevtić</w:t>
            </w:r>
          </w:p>
          <w:p w14:paraId="578517CE" w14:textId="77777777" w:rsidR="00EF03D4" w:rsidRPr="00743E8E" w:rsidRDefault="00EF03D4" w:rsidP="00EF03D4">
            <w:pPr>
              <w:jc w:val="both"/>
              <w:rPr>
                <w:lang w:val="sr-Cyrl-CS"/>
              </w:rPr>
            </w:pPr>
            <w:r w:rsidRPr="00743E8E">
              <w:t xml:space="preserve">-  2005.-2019. CIRSE </w:t>
            </w:r>
            <w:r w:rsidRPr="00743E8E">
              <w:rPr>
                <w:lang w:val="sr-Cyrl-CS"/>
              </w:rPr>
              <w:t>- семинари се одржавају једном годишње</w:t>
            </w:r>
          </w:p>
          <w:p w14:paraId="27EF1F5E" w14:textId="77777777" w:rsidR="00EF03D4" w:rsidRPr="00743E8E" w:rsidRDefault="00EF03D4" w:rsidP="00EF03D4">
            <w:pPr>
              <w:jc w:val="both"/>
              <w:rPr>
                <w:lang w:val="sr-Cyrl-CS"/>
              </w:rPr>
            </w:pPr>
            <w:r w:rsidRPr="00743E8E">
              <w:rPr>
                <w:lang w:val="sr-Cyrl-CS"/>
              </w:rPr>
              <w:t>- 2018. Е</w:t>
            </w:r>
            <w:r w:rsidRPr="00743E8E">
              <w:t>CR</w:t>
            </w:r>
            <w:r w:rsidRPr="00743E8E">
              <w:rPr>
                <w:lang w:val="sr-Cyrl-CS"/>
              </w:rPr>
              <w:t>, Беч</w:t>
            </w:r>
          </w:p>
          <w:p w14:paraId="1B931159" w14:textId="77777777" w:rsidR="00EF03D4" w:rsidRPr="00743E8E" w:rsidRDefault="00EF03D4" w:rsidP="00EF03D4">
            <w:pPr>
              <w:spacing w:after="60"/>
              <w:rPr>
                <w:b/>
                <w:lang w:val="sr-Cyrl-CS"/>
              </w:rPr>
            </w:pPr>
            <w:r w:rsidRPr="00743E8E">
              <w:t>-2019. Синергија – Српски когрес интервентне кардиологије, кардиоваскуларног имиџинга и медикаментне терапије – предавање по позиву</w:t>
            </w:r>
          </w:p>
        </w:tc>
      </w:tr>
      <w:tr w:rsidR="00EF03D4" w:rsidRPr="00743E8E" w14:paraId="530AFD92" w14:textId="77777777" w:rsidTr="00C00544">
        <w:trPr>
          <w:trHeight w:val="227"/>
          <w:jc w:val="center"/>
        </w:trPr>
        <w:tc>
          <w:tcPr>
            <w:tcW w:w="2886" w:type="pct"/>
            <w:gridSpan w:val="6"/>
            <w:vAlign w:val="center"/>
          </w:tcPr>
          <w:p w14:paraId="3B4FA59C" w14:textId="77777777" w:rsidR="00EF03D4" w:rsidRPr="00743E8E" w:rsidRDefault="00EF03D4" w:rsidP="00EF03D4">
            <w:pPr>
              <w:spacing w:after="60"/>
              <w:rPr>
                <w:b/>
                <w:lang w:val="sr-Cyrl-CS"/>
              </w:rPr>
            </w:pPr>
            <w:r w:rsidRPr="00743E8E">
              <w:rPr>
                <w:lang w:val="sr-Cyrl-CS"/>
              </w:rPr>
              <w:t>Други подаци које сматрате релевантним</w:t>
            </w:r>
          </w:p>
        </w:tc>
        <w:tc>
          <w:tcPr>
            <w:tcW w:w="2114" w:type="pct"/>
            <w:gridSpan w:val="7"/>
            <w:vAlign w:val="center"/>
          </w:tcPr>
          <w:p w14:paraId="7991377F" w14:textId="77777777" w:rsidR="00EF03D4" w:rsidRPr="00743E8E" w:rsidRDefault="00EF03D4" w:rsidP="00EF03D4">
            <w:pPr>
              <w:spacing w:after="60"/>
              <w:rPr>
                <w:b/>
                <w:lang w:val="sr-Cyrl-CS"/>
              </w:rPr>
            </w:pPr>
          </w:p>
        </w:tc>
      </w:tr>
    </w:tbl>
    <w:p w14:paraId="67AE9C62" w14:textId="77777777" w:rsidR="00505EBB" w:rsidRPr="00743E8E" w:rsidRDefault="00FA083F">
      <w:pPr>
        <w:rPr>
          <w:sz w:val="16"/>
          <w:szCs w:val="16"/>
        </w:rPr>
      </w:pPr>
      <w:r w:rsidRPr="00743E8E">
        <w:rPr>
          <w:sz w:val="16"/>
          <w:szCs w:val="16"/>
          <w:lang w:val="sr-Cyrl-CS"/>
        </w:rPr>
        <w:t>Максимална дужине не</w:t>
      </w:r>
      <w:r w:rsidRPr="00743E8E">
        <w:rPr>
          <w:sz w:val="16"/>
          <w:szCs w:val="16"/>
        </w:rPr>
        <w:t xml:space="preserve"> </w:t>
      </w:r>
      <w:r w:rsidRPr="00743E8E">
        <w:rPr>
          <w:sz w:val="16"/>
          <w:szCs w:val="16"/>
          <w:lang w:val="sr-Cyrl-CS"/>
        </w:rPr>
        <w:t>сме бити већа од  2 странице А4</w:t>
      </w:r>
    </w:p>
    <w:sectPr w:rsidR="00505EBB" w:rsidRPr="00743E8E" w:rsidSect="00FA7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64790"/>
    <w:multiLevelType w:val="hybridMultilevel"/>
    <w:tmpl w:val="331C2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311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24"/>
    <w:rsid w:val="00030AD8"/>
    <w:rsid w:val="00096628"/>
    <w:rsid w:val="000D6DDC"/>
    <w:rsid w:val="002C1CFC"/>
    <w:rsid w:val="002D120C"/>
    <w:rsid w:val="003960C7"/>
    <w:rsid w:val="00402E2D"/>
    <w:rsid w:val="00494424"/>
    <w:rsid w:val="00505EBB"/>
    <w:rsid w:val="00557CAF"/>
    <w:rsid w:val="0059218A"/>
    <w:rsid w:val="005B4EA7"/>
    <w:rsid w:val="0063417A"/>
    <w:rsid w:val="00743E8E"/>
    <w:rsid w:val="008A20BC"/>
    <w:rsid w:val="008F5090"/>
    <w:rsid w:val="00913D35"/>
    <w:rsid w:val="00975A90"/>
    <w:rsid w:val="009A264F"/>
    <w:rsid w:val="00A0505A"/>
    <w:rsid w:val="00A41D2D"/>
    <w:rsid w:val="00AB00FC"/>
    <w:rsid w:val="00C00544"/>
    <w:rsid w:val="00C027F1"/>
    <w:rsid w:val="00D37BF3"/>
    <w:rsid w:val="00D95865"/>
    <w:rsid w:val="00E62FB4"/>
    <w:rsid w:val="00E634E7"/>
    <w:rsid w:val="00EA25FB"/>
    <w:rsid w:val="00EF03D4"/>
    <w:rsid w:val="00F66177"/>
    <w:rsid w:val="00F929CB"/>
    <w:rsid w:val="00FA083F"/>
    <w:rsid w:val="00FA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7F7D"/>
  <w15:docId w15:val="{3D71671E-3421-4031-9371-66166641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24"/>
    <w:pPr>
      <w:widowControl w:val="0"/>
      <w:autoSpaceDE w:val="0"/>
      <w:autoSpaceDN w:val="0"/>
      <w:adjustRightInd w:val="0"/>
      <w:spacing w:after="0" w:line="240" w:lineRule="auto"/>
    </w:pPr>
    <w:rPr>
      <w:rFonts w:ascii="Times New Roman" w:eastAsia="Cambria"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A083F"/>
    <w:pPr>
      <w:adjustRightInd/>
    </w:pPr>
    <w:rPr>
      <w:rFonts w:eastAsia="Times New Roman"/>
      <w:sz w:val="22"/>
      <w:szCs w:val="22"/>
      <w:lang w:val="en-US" w:eastAsia="en-US" w:bidi="en-US"/>
    </w:rPr>
  </w:style>
  <w:style w:type="paragraph" w:styleId="BalloonText">
    <w:name w:val="Balloon Text"/>
    <w:basedOn w:val="Normal"/>
    <w:link w:val="BalloonTextChar"/>
    <w:uiPriority w:val="99"/>
    <w:semiHidden/>
    <w:unhideWhenUsed/>
    <w:rsid w:val="00E62F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FB4"/>
    <w:rPr>
      <w:rFonts w:ascii="Segoe UI" w:eastAsia="Cambria" w:hAnsi="Segoe UI" w:cs="Segoe UI"/>
      <w:sz w:val="18"/>
      <w:szCs w:val="18"/>
      <w:lang w:val="sr-Latn-CS" w:eastAsia="sr-Latn-CS"/>
    </w:rPr>
  </w:style>
  <w:style w:type="paragraph" w:styleId="ListParagraph">
    <w:name w:val="List Paragraph"/>
    <w:basedOn w:val="Normal"/>
    <w:uiPriority w:val="34"/>
    <w:qFormat/>
    <w:rsid w:val="00743E8E"/>
    <w:pPr>
      <w:ind w:left="720"/>
      <w:contextualSpacing/>
    </w:pPr>
  </w:style>
  <w:style w:type="character" w:styleId="Hyperlink">
    <w:name w:val="Hyperlink"/>
    <w:basedOn w:val="DefaultParagraphFont"/>
    <w:uiPriority w:val="99"/>
    <w:unhideWhenUsed/>
    <w:rsid w:val="00913D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obson.nb.rs/nauka_u_srbiji.132.html?autor=Till%20Viktor%20E&amp;samo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Zorica Đokić</cp:lastModifiedBy>
  <cp:revision>7</cp:revision>
  <cp:lastPrinted>2026-05-19T10:01:00Z</cp:lastPrinted>
  <dcterms:created xsi:type="dcterms:W3CDTF">2026-05-19T11:14:00Z</dcterms:created>
  <dcterms:modified xsi:type="dcterms:W3CDTF">2026-05-22T07:00:00Z</dcterms:modified>
</cp:coreProperties>
</file>