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B36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52"/>
        <w:gridCol w:w="1030"/>
        <w:gridCol w:w="1844"/>
        <w:gridCol w:w="1113"/>
        <w:gridCol w:w="371"/>
        <w:gridCol w:w="983"/>
        <w:gridCol w:w="463"/>
        <w:gridCol w:w="254"/>
        <w:gridCol w:w="852"/>
        <w:gridCol w:w="499"/>
        <w:gridCol w:w="421"/>
        <w:gridCol w:w="1109"/>
      </w:tblGrid>
      <w:tr w:rsidR="001543AE" w:rsidRPr="00D8045D" w14:paraId="124A0074" w14:textId="77777777" w:rsidTr="00D736DA">
        <w:trPr>
          <w:trHeight w:val="227"/>
          <w:jc w:val="center"/>
        </w:trPr>
        <w:tc>
          <w:tcPr>
            <w:tcW w:w="1483" w:type="pct"/>
            <w:gridSpan w:val="3"/>
            <w:vAlign w:val="center"/>
          </w:tcPr>
          <w:p w14:paraId="07606D83" w14:textId="77777777" w:rsidR="001543AE" w:rsidRPr="00D8045D" w:rsidRDefault="001543AE" w:rsidP="00A73EC1">
            <w:pPr>
              <w:spacing w:after="60"/>
              <w:rPr>
                <w:lang w:val="sr-Cyrl-CS"/>
              </w:rPr>
            </w:pPr>
            <w:r w:rsidRPr="00D8045D">
              <w:rPr>
                <w:b/>
                <w:lang w:val="sr-Cyrl-CS"/>
              </w:rPr>
              <w:t>Име и презиме</w:t>
            </w:r>
          </w:p>
        </w:tc>
        <w:tc>
          <w:tcPr>
            <w:tcW w:w="3517" w:type="pct"/>
            <w:gridSpan w:val="10"/>
            <w:vAlign w:val="center"/>
          </w:tcPr>
          <w:p w14:paraId="1955F94F" w14:textId="77777777" w:rsidR="001543AE" w:rsidRPr="00D8045D" w:rsidRDefault="00B64BF9" w:rsidP="002F4310">
            <w:pPr>
              <w:spacing w:after="60"/>
              <w:rPr>
                <w:lang w:val="sr-Cyrl-CS"/>
              </w:rPr>
            </w:pPr>
            <w:hyperlink r:id="rId6" w:history="1">
              <w:r w:rsidR="00BE19C0" w:rsidRPr="00D8045D">
                <w:rPr>
                  <w:rStyle w:val="Hyperlink"/>
                  <w:lang w:val="sr-Cyrl-CS"/>
                </w:rPr>
                <w:t>Лазар Велицки</w:t>
              </w:r>
            </w:hyperlink>
          </w:p>
        </w:tc>
      </w:tr>
      <w:tr w:rsidR="00D8045D" w:rsidRPr="00D8045D" w14:paraId="2722B2EE" w14:textId="77777777" w:rsidTr="00D736DA">
        <w:trPr>
          <w:trHeight w:val="227"/>
          <w:jc w:val="center"/>
        </w:trPr>
        <w:tc>
          <w:tcPr>
            <w:tcW w:w="1483" w:type="pct"/>
            <w:gridSpan w:val="3"/>
            <w:vAlign w:val="center"/>
          </w:tcPr>
          <w:p w14:paraId="3C0010D2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b/>
                <w:lang w:val="sr-Cyrl-CS"/>
              </w:rPr>
              <w:t>Звање</w:t>
            </w:r>
          </w:p>
        </w:tc>
        <w:tc>
          <w:tcPr>
            <w:tcW w:w="3517" w:type="pct"/>
            <w:gridSpan w:val="10"/>
          </w:tcPr>
          <w:p w14:paraId="69922858" w14:textId="77777777" w:rsidR="00D8045D" w:rsidRPr="00D8045D" w:rsidRDefault="00664AF9" w:rsidP="00D8045D">
            <w:r>
              <w:t>Редовни</w:t>
            </w:r>
            <w:r w:rsidR="00D8045D" w:rsidRPr="00D8045D">
              <w:t xml:space="preserve"> професор</w:t>
            </w:r>
          </w:p>
        </w:tc>
      </w:tr>
      <w:tr w:rsidR="00D8045D" w:rsidRPr="00D8045D" w14:paraId="2F234658" w14:textId="77777777" w:rsidTr="00D736DA">
        <w:trPr>
          <w:trHeight w:val="227"/>
          <w:jc w:val="center"/>
        </w:trPr>
        <w:tc>
          <w:tcPr>
            <w:tcW w:w="1483" w:type="pct"/>
            <w:gridSpan w:val="3"/>
            <w:vAlign w:val="center"/>
          </w:tcPr>
          <w:p w14:paraId="79370AB5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7" w:type="pct"/>
            <w:gridSpan w:val="10"/>
            <w:vAlign w:val="center"/>
          </w:tcPr>
          <w:p w14:paraId="4FA2AF13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Хирургија</w:t>
            </w:r>
            <w:r>
              <w:rPr>
                <w:lang w:val="sr-Cyrl-CS"/>
              </w:rPr>
              <w:t xml:space="preserve"> (</w:t>
            </w:r>
            <w:r w:rsidRPr="00D8045D">
              <w:rPr>
                <w:lang w:val="sr-Cyrl-CS"/>
              </w:rPr>
              <w:t>Кардиохирургија</w:t>
            </w:r>
            <w:r>
              <w:rPr>
                <w:lang w:val="sr-Cyrl-CS"/>
              </w:rPr>
              <w:t>)</w:t>
            </w:r>
          </w:p>
        </w:tc>
      </w:tr>
      <w:tr w:rsidR="00D8045D" w:rsidRPr="00D8045D" w14:paraId="3ED78F0C" w14:textId="77777777" w:rsidTr="00D736DA">
        <w:trPr>
          <w:trHeight w:val="227"/>
          <w:jc w:val="center"/>
        </w:trPr>
        <w:tc>
          <w:tcPr>
            <w:tcW w:w="1025" w:type="pct"/>
            <w:gridSpan w:val="2"/>
            <w:vAlign w:val="center"/>
          </w:tcPr>
          <w:p w14:paraId="774E5AA8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8" w:type="pct"/>
            <w:vAlign w:val="center"/>
          </w:tcPr>
          <w:p w14:paraId="13F8E42F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 xml:space="preserve">Година </w:t>
            </w:r>
          </w:p>
        </w:tc>
        <w:tc>
          <w:tcPr>
            <w:tcW w:w="1480" w:type="pct"/>
            <w:gridSpan w:val="3"/>
            <w:vAlign w:val="center"/>
          </w:tcPr>
          <w:p w14:paraId="4E568A02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 xml:space="preserve">Институција </w:t>
            </w:r>
          </w:p>
        </w:tc>
        <w:tc>
          <w:tcPr>
            <w:tcW w:w="2037" w:type="pct"/>
            <w:gridSpan w:val="7"/>
            <w:vAlign w:val="center"/>
          </w:tcPr>
          <w:p w14:paraId="68F94BA3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8045D" w:rsidRPr="00D8045D" w14:paraId="5B0F1EA1" w14:textId="77777777" w:rsidTr="00D736DA">
        <w:trPr>
          <w:trHeight w:val="227"/>
          <w:jc w:val="center"/>
        </w:trPr>
        <w:tc>
          <w:tcPr>
            <w:tcW w:w="1025" w:type="pct"/>
            <w:gridSpan w:val="2"/>
          </w:tcPr>
          <w:p w14:paraId="6E97893C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Избор у звање</w:t>
            </w:r>
          </w:p>
        </w:tc>
        <w:tc>
          <w:tcPr>
            <w:tcW w:w="458" w:type="pct"/>
          </w:tcPr>
          <w:p w14:paraId="4678C6BF" w14:textId="77777777" w:rsidR="00D8045D" w:rsidRPr="00D8045D" w:rsidRDefault="00D8045D" w:rsidP="00D8045D">
            <w:pPr>
              <w:jc w:val="center"/>
              <w:rPr>
                <w:lang w:val="sr-Cyrl-CS"/>
              </w:rPr>
            </w:pPr>
            <w:r w:rsidRPr="00D8045D">
              <w:rPr>
                <w:lang w:val="sr-Cyrl-CS"/>
              </w:rPr>
              <w:t>2019.</w:t>
            </w:r>
          </w:p>
        </w:tc>
        <w:tc>
          <w:tcPr>
            <w:tcW w:w="1480" w:type="pct"/>
            <w:gridSpan w:val="3"/>
          </w:tcPr>
          <w:p w14:paraId="226D6248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37" w:type="pct"/>
            <w:gridSpan w:val="7"/>
          </w:tcPr>
          <w:p w14:paraId="59603647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Хирургија - кардиохирургија</w:t>
            </w:r>
          </w:p>
        </w:tc>
      </w:tr>
      <w:tr w:rsidR="00D8045D" w:rsidRPr="00D8045D" w14:paraId="6B033FFF" w14:textId="77777777" w:rsidTr="00D736DA">
        <w:trPr>
          <w:trHeight w:val="227"/>
          <w:jc w:val="center"/>
        </w:trPr>
        <w:tc>
          <w:tcPr>
            <w:tcW w:w="1025" w:type="pct"/>
            <w:gridSpan w:val="2"/>
          </w:tcPr>
          <w:p w14:paraId="6E16E259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Докторат</w:t>
            </w:r>
          </w:p>
        </w:tc>
        <w:tc>
          <w:tcPr>
            <w:tcW w:w="458" w:type="pct"/>
          </w:tcPr>
          <w:p w14:paraId="7EF664B1" w14:textId="77777777" w:rsidR="00D8045D" w:rsidRPr="00D8045D" w:rsidRDefault="00D8045D" w:rsidP="00D8045D">
            <w:pPr>
              <w:jc w:val="center"/>
              <w:rPr>
                <w:lang w:val="sr-Cyrl-CS"/>
              </w:rPr>
            </w:pPr>
            <w:r w:rsidRPr="00D8045D">
              <w:rPr>
                <w:lang w:val="sr-Cyrl-CS"/>
              </w:rPr>
              <w:t>2011.</w:t>
            </w:r>
          </w:p>
        </w:tc>
        <w:tc>
          <w:tcPr>
            <w:tcW w:w="1480" w:type="pct"/>
            <w:gridSpan w:val="3"/>
          </w:tcPr>
          <w:p w14:paraId="4D81DDF3" w14:textId="77777777" w:rsidR="00D8045D" w:rsidRPr="00D8045D" w:rsidRDefault="00D8045D" w:rsidP="00D8045D">
            <w:r w:rsidRPr="00D8045D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37" w:type="pct"/>
            <w:gridSpan w:val="7"/>
          </w:tcPr>
          <w:p w14:paraId="0A2C92AA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Хирургија - кардиохирургија</w:t>
            </w:r>
          </w:p>
        </w:tc>
      </w:tr>
      <w:tr w:rsidR="00D8045D" w:rsidRPr="00D8045D" w14:paraId="1AFD8CB4" w14:textId="77777777" w:rsidTr="00D736DA">
        <w:trPr>
          <w:trHeight w:val="227"/>
          <w:jc w:val="center"/>
        </w:trPr>
        <w:tc>
          <w:tcPr>
            <w:tcW w:w="1025" w:type="pct"/>
            <w:gridSpan w:val="2"/>
          </w:tcPr>
          <w:p w14:paraId="76BB1B56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Специјализација</w:t>
            </w:r>
          </w:p>
        </w:tc>
        <w:tc>
          <w:tcPr>
            <w:tcW w:w="458" w:type="pct"/>
          </w:tcPr>
          <w:p w14:paraId="03149C45" w14:textId="77777777" w:rsidR="00D8045D" w:rsidRPr="00D8045D" w:rsidRDefault="00D8045D" w:rsidP="00D8045D">
            <w:pPr>
              <w:jc w:val="center"/>
              <w:rPr>
                <w:lang w:val="sr-Cyrl-CS"/>
              </w:rPr>
            </w:pPr>
            <w:r w:rsidRPr="00D8045D">
              <w:rPr>
                <w:lang w:val="sr-Cyrl-CS"/>
              </w:rPr>
              <w:t>2013.</w:t>
            </w:r>
          </w:p>
        </w:tc>
        <w:tc>
          <w:tcPr>
            <w:tcW w:w="1480" w:type="pct"/>
            <w:gridSpan w:val="3"/>
          </w:tcPr>
          <w:p w14:paraId="48BBB771" w14:textId="77777777" w:rsidR="00D8045D" w:rsidRPr="00D8045D" w:rsidRDefault="00D8045D" w:rsidP="00D8045D">
            <w:r w:rsidRPr="00D8045D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37" w:type="pct"/>
            <w:gridSpan w:val="7"/>
          </w:tcPr>
          <w:p w14:paraId="6479429E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Општа хирургија</w:t>
            </w:r>
          </w:p>
        </w:tc>
      </w:tr>
      <w:tr w:rsidR="00D8045D" w:rsidRPr="00D8045D" w14:paraId="1E89632A" w14:textId="77777777" w:rsidTr="00D736DA">
        <w:trPr>
          <w:trHeight w:val="227"/>
          <w:jc w:val="center"/>
        </w:trPr>
        <w:tc>
          <w:tcPr>
            <w:tcW w:w="1025" w:type="pct"/>
            <w:gridSpan w:val="2"/>
          </w:tcPr>
          <w:p w14:paraId="0C0B9F0C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Мастер</w:t>
            </w:r>
          </w:p>
        </w:tc>
        <w:tc>
          <w:tcPr>
            <w:tcW w:w="458" w:type="pct"/>
          </w:tcPr>
          <w:p w14:paraId="34E1580A" w14:textId="77777777" w:rsidR="00D8045D" w:rsidRPr="00D8045D" w:rsidRDefault="00D8045D" w:rsidP="00D8045D">
            <w:pPr>
              <w:jc w:val="center"/>
              <w:rPr>
                <w:lang w:val="sr-Cyrl-CS"/>
              </w:rPr>
            </w:pPr>
            <w:r w:rsidRPr="00D8045D">
              <w:rPr>
                <w:lang w:val="sr-Cyrl-CS"/>
              </w:rPr>
              <w:t>2008.</w:t>
            </w:r>
          </w:p>
        </w:tc>
        <w:tc>
          <w:tcPr>
            <w:tcW w:w="1480" w:type="pct"/>
            <w:gridSpan w:val="3"/>
          </w:tcPr>
          <w:p w14:paraId="43FB58D1" w14:textId="77777777" w:rsidR="00D8045D" w:rsidRPr="00D8045D" w:rsidRDefault="00D8045D" w:rsidP="00D8045D">
            <w:r w:rsidRPr="00D8045D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37" w:type="pct"/>
            <w:gridSpan w:val="7"/>
          </w:tcPr>
          <w:p w14:paraId="1C8B13F5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Физиологија</w:t>
            </w:r>
          </w:p>
        </w:tc>
      </w:tr>
      <w:tr w:rsidR="00D8045D" w:rsidRPr="00D8045D" w14:paraId="553265CB" w14:textId="77777777" w:rsidTr="00D736DA">
        <w:trPr>
          <w:trHeight w:val="227"/>
          <w:jc w:val="center"/>
        </w:trPr>
        <w:tc>
          <w:tcPr>
            <w:tcW w:w="1025" w:type="pct"/>
            <w:gridSpan w:val="2"/>
          </w:tcPr>
          <w:p w14:paraId="17AE0ED6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Диплома</w:t>
            </w:r>
          </w:p>
        </w:tc>
        <w:tc>
          <w:tcPr>
            <w:tcW w:w="458" w:type="pct"/>
          </w:tcPr>
          <w:p w14:paraId="0B7BF3A6" w14:textId="77777777" w:rsidR="00D8045D" w:rsidRPr="00D8045D" w:rsidRDefault="00D8045D" w:rsidP="00D8045D">
            <w:pPr>
              <w:jc w:val="center"/>
              <w:rPr>
                <w:lang w:val="sr-Cyrl-CS"/>
              </w:rPr>
            </w:pPr>
            <w:r w:rsidRPr="00D8045D">
              <w:rPr>
                <w:lang w:val="sr-Cyrl-CS"/>
              </w:rPr>
              <w:t>2005.</w:t>
            </w:r>
          </w:p>
        </w:tc>
        <w:tc>
          <w:tcPr>
            <w:tcW w:w="1480" w:type="pct"/>
            <w:gridSpan w:val="3"/>
          </w:tcPr>
          <w:p w14:paraId="2D3EDADB" w14:textId="77777777" w:rsidR="00D8045D" w:rsidRPr="00D8045D" w:rsidRDefault="00D8045D" w:rsidP="00D8045D">
            <w:r w:rsidRPr="00D8045D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37" w:type="pct"/>
            <w:gridSpan w:val="7"/>
          </w:tcPr>
          <w:p w14:paraId="5F5EDC32" w14:textId="77777777" w:rsidR="00D8045D" w:rsidRPr="00D8045D" w:rsidRDefault="00D8045D" w:rsidP="00D8045D">
            <w:pPr>
              <w:rPr>
                <w:lang w:val="sr-Cyrl-CS"/>
              </w:rPr>
            </w:pPr>
            <w:r w:rsidRPr="00D8045D">
              <w:rPr>
                <w:lang w:val="sr-Cyrl-CS"/>
              </w:rPr>
              <w:t>Општа  медицина</w:t>
            </w:r>
          </w:p>
        </w:tc>
      </w:tr>
      <w:tr w:rsidR="00D8045D" w:rsidRPr="00D8045D" w14:paraId="5E4C3B59" w14:textId="77777777" w:rsidTr="00D736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97811B6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b/>
                <w:lang w:val="sr-Cyrl-CS"/>
              </w:rPr>
              <w:t>Списак дисертација</w:t>
            </w:r>
            <w:r w:rsidRPr="00D8045D">
              <w:rPr>
                <w:b/>
              </w:rPr>
              <w:t xml:space="preserve">-докторских уметничких пројеката </w:t>
            </w:r>
            <w:r w:rsidRPr="00D8045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8045D" w:rsidRPr="00D8045D" w14:paraId="1B0A37E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D8DA312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Р.Б.</w:t>
            </w:r>
          </w:p>
        </w:tc>
        <w:tc>
          <w:tcPr>
            <w:tcW w:w="2552" w:type="pct"/>
            <w:gridSpan w:val="4"/>
            <w:vAlign w:val="center"/>
          </w:tcPr>
          <w:p w14:paraId="2DB5A5EF" w14:textId="77777777" w:rsidR="00D8045D" w:rsidRPr="00D8045D" w:rsidRDefault="00D8045D" w:rsidP="00D8045D">
            <w:pPr>
              <w:spacing w:after="60"/>
            </w:pPr>
            <w:r w:rsidRPr="00D8045D">
              <w:rPr>
                <w:lang w:val="sr-Cyrl-CS"/>
              </w:rPr>
              <w:t>Наслов дисертације</w:t>
            </w:r>
            <w:r w:rsidRPr="00D8045D">
              <w:t xml:space="preserve">- докторског уметничког пројекта </w:t>
            </w:r>
          </w:p>
        </w:tc>
        <w:tc>
          <w:tcPr>
            <w:tcW w:w="921" w:type="pct"/>
            <w:gridSpan w:val="4"/>
            <w:vAlign w:val="center"/>
          </w:tcPr>
          <w:p w14:paraId="2CAB84BD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Име кандидата</w:t>
            </w:r>
          </w:p>
        </w:tc>
        <w:tc>
          <w:tcPr>
            <w:tcW w:w="601" w:type="pct"/>
            <w:gridSpan w:val="2"/>
            <w:vAlign w:val="center"/>
          </w:tcPr>
          <w:p w14:paraId="4B100201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 xml:space="preserve">*пријављена </w:t>
            </w:r>
          </w:p>
        </w:tc>
        <w:tc>
          <w:tcPr>
            <w:tcW w:w="680" w:type="pct"/>
            <w:gridSpan w:val="2"/>
            <w:vAlign w:val="center"/>
          </w:tcPr>
          <w:p w14:paraId="4029B4CF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** одбрањена</w:t>
            </w:r>
          </w:p>
        </w:tc>
      </w:tr>
      <w:tr w:rsidR="00D8045D" w:rsidRPr="00D8045D" w14:paraId="4F69DD3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20E5B92" w14:textId="77777777" w:rsidR="00D8045D" w:rsidRPr="00505413" w:rsidRDefault="00D8045D" w:rsidP="00D8045D">
            <w:pPr>
              <w:spacing w:after="60"/>
              <w:rPr>
                <w:lang w:val="sr-Cyrl-CS"/>
              </w:rPr>
            </w:pPr>
            <w:r w:rsidRPr="00505413">
              <w:rPr>
                <w:lang w:val="sr-Cyrl-CS"/>
              </w:rPr>
              <w:t>1.</w:t>
            </w:r>
          </w:p>
        </w:tc>
        <w:tc>
          <w:tcPr>
            <w:tcW w:w="2552" w:type="pct"/>
            <w:gridSpan w:val="4"/>
            <w:vAlign w:val="center"/>
          </w:tcPr>
          <w:p w14:paraId="2BDBF005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ГАЛЕКТИН-3 КАО БИОМАРКЕР ФИБРОЗЕ МИОКАРДА ПРЕТКОМОРЕ КОД ПАЦИЈЕНАТА КОЈИ СЕ ПОДВРГАВАЈУ ХИРУРШКОЈ РЕВАСКУЛАРИЗАЦИЈИ МИОКАРДА</w:t>
            </w:r>
          </w:p>
        </w:tc>
        <w:tc>
          <w:tcPr>
            <w:tcW w:w="921" w:type="pct"/>
            <w:gridSpan w:val="4"/>
            <w:vAlign w:val="center"/>
          </w:tcPr>
          <w:p w14:paraId="2F93AC96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Немања Петровић</w:t>
            </w:r>
          </w:p>
        </w:tc>
        <w:tc>
          <w:tcPr>
            <w:tcW w:w="601" w:type="pct"/>
            <w:gridSpan w:val="2"/>
            <w:vAlign w:val="center"/>
          </w:tcPr>
          <w:p w14:paraId="4F50B5E2" w14:textId="77777777" w:rsidR="00D8045D" w:rsidRPr="00D8045D" w:rsidRDefault="00D8045D" w:rsidP="00D8045D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2018.</w:t>
            </w:r>
          </w:p>
        </w:tc>
        <w:tc>
          <w:tcPr>
            <w:tcW w:w="680" w:type="pct"/>
            <w:gridSpan w:val="2"/>
            <w:vAlign w:val="center"/>
          </w:tcPr>
          <w:p w14:paraId="665E6C33" w14:textId="77777777" w:rsidR="00D8045D" w:rsidRPr="00753D38" w:rsidRDefault="00753D38" w:rsidP="00D8045D">
            <w:pPr>
              <w:spacing w:after="60"/>
            </w:pPr>
            <w:r>
              <w:t>2020.</w:t>
            </w:r>
          </w:p>
        </w:tc>
      </w:tr>
      <w:tr w:rsidR="00D8045D" w:rsidRPr="00D8045D" w14:paraId="0E62ED0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B581DAF" w14:textId="77777777" w:rsidR="00D8045D" w:rsidRPr="00505413" w:rsidRDefault="00D8045D" w:rsidP="00D8045D">
            <w:pPr>
              <w:spacing w:after="60"/>
              <w:rPr>
                <w:lang w:val="sr-Cyrl-CS"/>
              </w:rPr>
            </w:pPr>
            <w:r w:rsidRPr="00505413">
              <w:rPr>
                <w:lang w:val="sr-Cyrl-CS"/>
              </w:rPr>
              <w:t>2.</w:t>
            </w:r>
          </w:p>
        </w:tc>
        <w:tc>
          <w:tcPr>
            <w:tcW w:w="2552" w:type="pct"/>
            <w:gridSpan w:val="4"/>
            <w:vAlign w:val="center"/>
          </w:tcPr>
          <w:p w14:paraId="6E779DD6" w14:textId="77777777" w:rsidR="00D8045D" w:rsidRPr="002D4F80" w:rsidRDefault="00D8045D" w:rsidP="00D8045D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КОНТРАСТОМ ИНДУКОВАНА НЕФРОПАТИЈА КАО ПРЕДИКТОР АКУТИЗАЦИЈЕ БУБРЕЖНЕ ИНСУФИЦИЈЕНЦИЈЕ, КОМПЛИКАЦИЈА И МОРТАЛИТЕТА ПОСЛЕ КАРДИОХИРУРШКИХ ОПЕРАЦИЈА</w:t>
            </w:r>
          </w:p>
        </w:tc>
        <w:tc>
          <w:tcPr>
            <w:tcW w:w="921" w:type="pct"/>
            <w:gridSpan w:val="4"/>
            <w:vAlign w:val="center"/>
          </w:tcPr>
          <w:p w14:paraId="7DEEFDB8" w14:textId="77777777" w:rsidR="00D8045D" w:rsidRPr="002D4F80" w:rsidRDefault="00D8045D" w:rsidP="00D8045D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Ксенија Бабовић Станић</w:t>
            </w:r>
          </w:p>
        </w:tc>
        <w:tc>
          <w:tcPr>
            <w:tcW w:w="601" w:type="pct"/>
            <w:gridSpan w:val="2"/>
            <w:vAlign w:val="center"/>
          </w:tcPr>
          <w:p w14:paraId="54887A19" w14:textId="77777777" w:rsidR="00D8045D" w:rsidRPr="002D4F80" w:rsidRDefault="00D8045D" w:rsidP="00D8045D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2018.</w:t>
            </w:r>
          </w:p>
        </w:tc>
        <w:tc>
          <w:tcPr>
            <w:tcW w:w="680" w:type="pct"/>
            <w:gridSpan w:val="2"/>
            <w:vAlign w:val="center"/>
          </w:tcPr>
          <w:p w14:paraId="12C0ED79" w14:textId="77777777" w:rsidR="00D8045D" w:rsidRPr="002D4F80" w:rsidRDefault="00312C68" w:rsidP="00D8045D">
            <w:pPr>
              <w:spacing w:after="60"/>
              <w:rPr>
                <w:lang w:val="en-US"/>
              </w:rPr>
            </w:pPr>
            <w:r w:rsidRPr="002D4F80">
              <w:rPr>
                <w:lang w:val="en-US"/>
              </w:rPr>
              <w:t>2020</w:t>
            </w:r>
          </w:p>
        </w:tc>
      </w:tr>
      <w:tr w:rsidR="00D8045D" w:rsidRPr="00D8045D" w14:paraId="26573E27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42B4C75" w14:textId="77777777" w:rsidR="00D8045D" w:rsidRPr="00505413" w:rsidRDefault="00D8045D" w:rsidP="00D8045D">
            <w:pPr>
              <w:spacing w:after="60"/>
              <w:rPr>
                <w:lang w:val="sr-Cyrl-CS"/>
              </w:rPr>
            </w:pPr>
            <w:r w:rsidRPr="00505413">
              <w:rPr>
                <w:lang w:val="sr-Cyrl-CS"/>
              </w:rPr>
              <w:t>3.</w:t>
            </w:r>
          </w:p>
        </w:tc>
        <w:tc>
          <w:tcPr>
            <w:tcW w:w="2552" w:type="pct"/>
            <w:gridSpan w:val="4"/>
            <w:vAlign w:val="center"/>
          </w:tcPr>
          <w:p w14:paraId="0C20D91B" w14:textId="77777777" w:rsidR="00D8045D" w:rsidRPr="002D4F80" w:rsidRDefault="00D8045D" w:rsidP="00D8045D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КАРДИЈАЛНИ БИОМАРКЕРИ У ПРЕДВИЂАЊУ ОПЕРАТИВНОГ РИЗИКА КАРДИОХИРУРШКИХ БОЛЕСНИКА СА ОСЛАБЉЕНОМ СИСТОЛНОМ ФУНКЦИЈОМ ЛЕВЕ КОМОРЕ</w:t>
            </w:r>
          </w:p>
        </w:tc>
        <w:tc>
          <w:tcPr>
            <w:tcW w:w="921" w:type="pct"/>
            <w:gridSpan w:val="4"/>
            <w:vAlign w:val="center"/>
          </w:tcPr>
          <w:p w14:paraId="6335A7EA" w14:textId="77777777" w:rsidR="00D8045D" w:rsidRPr="002D4F80" w:rsidRDefault="00D8045D" w:rsidP="00D8045D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Јасна Радишић Босић</w:t>
            </w:r>
          </w:p>
        </w:tc>
        <w:tc>
          <w:tcPr>
            <w:tcW w:w="601" w:type="pct"/>
            <w:gridSpan w:val="2"/>
            <w:vAlign w:val="center"/>
          </w:tcPr>
          <w:p w14:paraId="1C77A44F" w14:textId="77777777" w:rsidR="00D8045D" w:rsidRPr="002D4F80" w:rsidRDefault="00312C68" w:rsidP="00D8045D">
            <w:pPr>
              <w:spacing w:after="60"/>
              <w:rPr>
                <w:lang w:val="en-US"/>
              </w:rPr>
            </w:pPr>
            <w:r w:rsidRPr="002D4F80">
              <w:rPr>
                <w:lang w:val="en-US"/>
              </w:rPr>
              <w:t>2017.</w:t>
            </w:r>
          </w:p>
        </w:tc>
        <w:tc>
          <w:tcPr>
            <w:tcW w:w="680" w:type="pct"/>
            <w:gridSpan w:val="2"/>
            <w:vAlign w:val="center"/>
          </w:tcPr>
          <w:p w14:paraId="34E73E8C" w14:textId="77777777" w:rsidR="00D8045D" w:rsidRPr="002D4F80" w:rsidRDefault="00D8045D" w:rsidP="00312C68">
            <w:pPr>
              <w:spacing w:after="60"/>
              <w:rPr>
                <w:lang w:val="sr-Cyrl-CS"/>
              </w:rPr>
            </w:pPr>
            <w:r w:rsidRPr="002D4F80">
              <w:rPr>
                <w:lang w:val="sr-Cyrl-CS"/>
              </w:rPr>
              <w:t>201</w:t>
            </w:r>
            <w:r w:rsidR="00312C68" w:rsidRPr="002D4F80">
              <w:rPr>
                <w:lang w:val="en-US"/>
              </w:rPr>
              <w:t>9</w:t>
            </w:r>
            <w:r w:rsidRPr="002D4F80">
              <w:rPr>
                <w:lang w:val="sr-Cyrl-CS"/>
              </w:rPr>
              <w:t>.</w:t>
            </w:r>
          </w:p>
        </w:tc>
      </w:tr>
      <w:tr w:rsidR="00312C68" w:rsidRPr="00D8045D" w14:paraId="676FC2C4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BF827F8" w14:textId="77777777" w:rsidR="00312C68" w:rsidRPr="00505413" w:rsidRDefault="00312C68" w:rsidP="00A73EC1">
            <w:pPr>
              <w:spacing w:after="60"/>
              <w:rPr>
                <w:lang w:val="en-GB"/>
              </w:rPr>
            </w:pPr>
            <w:r w:rsidRPr="00505413">
              <w:rPr>
                <w:lang w:val="en-GB"/>
              </w:rPr>
              <w:t>4.</w:t>
            </w:r>
          </w:p>
        </w:tc>
        <w:tc>
          <w:tcPr>
            <w:tcW w:w="2552" w:type="pct"/>
            <w:gridSpan w:val="4"/>
            <w:vAlign w:val="center"/>
          </w:tcPr>
          <w:p w14:paraId="7A225212" w14:textId="77777777" w:rsidR="00312C68" w:rsidRPr="002D4F80" w:rsidRDefault="00312C68" w:rsidP="00A73EC1">
            <w:pPr>
              <w:spacing w:after="60"/>
            </w:pPr>
            <w:r w:rsidRPr="002D4F80">
              <w:t>ПОСТОЈАНОСТ АУТОНОМНЕ ДЕНЕРВАЦИЈЕ СРЦА НАКОН КАТЕТЕРСКЕ АБЛАЦИЈЕ ФИБРИЛАЦИЈЕ АТРИЈА</w:t>
            </w:r>
          </w:p>
        </w:tc>
        <w:tc>
          <w:tcPr>
            <w:tcW w:w="921" w:type="pct"/>
            <w:gridSpan w:val="4"/>
            <w:vAlign w:val="center"/>
          </w:tcPr>
          <w:p w14:paraId="11B37BD8" w14:textId="77777777" w:rsidR="00312C68" w:rsidRPr="002D4F80" w:rsidRDefault="00312C68" w:rsidP="00A73EC1">
            <w:pPr>
              <w:spacing w:after="60"/>
            </w:pPr>
            <w:r w:rsidRPr="002D4F80">
              <w:t>Далибор Сомер</w:t>
            </w:r>
          </w:p>
        </w:tc>
        <w:tc>
          <w:tcPr>
            <w:tcW w:w="601" w:type="pct"/>
            <w:gridSpan w:val="2"/>
            <w:vAlign w:val="center"/>
          </w:tcPr>
          <w:p w14:paraId="2DA2D853" w14:textId="77777777" w:rsidR="00312C68" w:rsidRPr="002D4F80" w:rsidRDefault="00312C68" w:rsidP="00A73EC1">
            <w:pPr>
              <w:spacing w:after="60"/>
            </w:pPr>
            <w:r w:rsidRPr="002D4F80">
              <w:t>2020.</w:t>
            </w:r>
          </w:p>
        </w:tc>
        <w:tc>
          <w:tcPr>
            <w:tcW w:w="680" w:type="pct"/>
            <w:gridSpan w:val="2"/>
            <w:vAlign w:val="center"/>
          </w:tcPr>
          <w:p w14:paraId="5B51AD3C" w14:textId="77777777" w:rsidR="00312C68" w:rsidRPr="002D4F80" w:rsidRDefault="00312C68" w:rsidP="00A73EC1">
            <w:pPr>
              <w:spacing w:after="60"/>
              <w:rPr>
                <w:lang w:val="en-GB"/>
              </w:rPr>
            </w:pPr>
          </w:p>
        </w:tc>
      </w:tr>
      <w:tr w:rsidR="00312C68" w:rsidRPr="00D8045D" w14:paraId="078F3D7E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58FCF97" w14:textId="77777777" w:rsidR="00312C68" w:rsidRPr="00505413" w:rsidRDefault="00312C68" w:rsidP="00A73EC1">
            <w:pPr>
              <w:spacing w:after="60"/>
            </w:pPr>
            <w:r w:rsidRPr="00505413">
              <w:t>5.</w:t>
            </w:r>
          </w:p>
        </w:tc>
        <w:tc>
          <w:tcPr>
            <w:tcW w:w="2552" w:type="pct"/>
            <w:gridSpan w:val="4"/>
            <w:vAlign w:val="center"/>
          </w:tcPr>
          <w:p w14:paraId="391BAD65" w14:textId="77777777" w:rsidR="00312C68" w:rsidRPr="002D4F80" w:rsidRDefault="00312C68" w:rsidP="00A73EC1">
            <w:pPr>
              <w:spacing w:after="60"/>
            </w:pPr>
            <w:r w:rsidRPr="002D4F80">
              <w:t>УТВРЂИВАЊЕ ГЕНОТИПА ХИПЕРТРОФИЧНЕ КАРДИОМИОПАТИЈЕ ПРИМЕНОМ МАШИНСКОГ УЧЕЊА</w:t>
            </w:r>
          </w:p>
        </w:tc>
        <w:tc>
          <w:tcPr>
            <w:tcW w:w="921" w:type="pct"/>
            <w:gridSpan w:val="4"/>
            <w:vAlign w:val="center"/>
          </w:tcPr>
          <w:p w14:paraId="75D7D7DA" w14:textId="77777777" w:rsidR="00312C68" w:rsidRPr="002D4F80" w:rsidRDefault="00312C68" w:rsidP="00A73EC1">
            <w:pPr>
              <w:spacing w:after="60"/>
            </w:pPr>
            <w:r w:rsidRPr="002D4F80">
              <w:t>Мила Главашки</w:t>
            </w:r>
          </w:p>
        </w:tc>
        <w:tc>
          <w:tcPr>
            <w:tcW w:w="601" w:type="pct"/>
            <w:gridSpan w:val="2"/>
            <w:vAlign w:val="center"/>
          </w:tcPr>
          <w:p w14:paraId="7480B011" w14:textId="77777777" w:rsidR="00312C68" w:rsidRPr="002D4F80" w:rsidRDefault="00312C68" w:rsidP="00A73EC1">
            <w:pPr>
              <w:spacing w:after="60"/>
            </w:pPr>
            <w:r w:rsidRPr="002D4F80">
              <w:t>2020.</w:t>
            </w:r>
          </w:p>
        </w:tc>
        <w:tc>
          <w:tcPr>
            <w:tcW w:w="680" w:type="pct"/>
            <w:gridSpan w:val="2"/>
            <w:vAlign w:val="center"/>
          </w:tcPr>
          <w:p w14:paraId="07EF6F58" w14:textId="77777777" w:rsidR="00312C68" w:rsidRPr="002D4F80" w:rsidRDefault="00753D38" w:rsidP="00A73EC1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2023.</w:t>
            </w:r>
          </w:p>
        </w:tc>
      </w:tr>
      <w:tr w:rsidR="00312C68" w:rsidRPr="00D8045D" w14:paraId="353E5188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1D36B8EF" w14:textId="77777777" w:rsidR="00312C68" w:rsidRPr="00505413" w:rsidRDefault="00312C68" w:rsidP="00A73EC1">
            <w:pPr>
              <w:spacing w:after="60"/>
            </w:pPr>
            <w:r w:rsidRPr="00505413">
              <w:t xml:space="preserve">6. </w:t>
            </w:r>
          </w:p>
        </w:tc>
        <w:tc>
          <w:tcPr>
            <w:tcW w:w="2552" w:type="pct"/>
            <w:gridSpan w:val="4"/>
            <w:vAlign w:val="center"/>
          </w:tcPr>
          <w:p w14:paraId="5761581A" w14:textId="77777777" w:rsidR="00312C68" w:rsidRPr="002D4F80" w:rsidRDefault="00312C68" w:rsidP="00A73EC1">
            <w:pPr>
              <w:spacing w:after="60"/>
            </w:pPr>
            <w:r w:rsidRPr="002D4F80">
              <w:t>КАРАКТЕРИСТИКЕ ПРОТОКА КРВИ КРОЗ АОРТНИ КОРЕН КОД ИСПИТАНИКА СА БИКУСПИДНИМ АОРТНИМ</w:t>
            </w:r>
          </w:p>
          <w:p w14:paraId="4C7DCEE3" w14:textId="77777777" w:rsidR="00312C68" w:rsidRPr="002D4F80" w:rsidRDefault="00312C68" w:rsidP="00A73EC1">
            <w:pPr>
              <w:spacing w:after="60"/>
            </w:pPr>
            <w:r w:rsidRPr="002D4F80">
              <w:t>ЗАЛИСКОМ</w:t>
            </w:r>
          </w:p>
        </w:tc>
        <w:tc>
          <w:tcPr>
            <w:tcW w:w="921" w:type="pct"/>
            <w:gridSpan w:val="4"/>
            <w:vAlign w:val="center"/>
          </w:tcPr>
          <w:p w14:paraId="1176B475" w14:textId="77777777" w:rsidR="00312C68" w:rsidRPr="002D4F80" w:rsidRDefault="00312C68" w:rsidP="00A73EC1">
            <w:pPr>
              <w:spacing w:after="60"/>
            </w:pPr>
            <w:r w:rsidRPr="002D4F80">
              <w:t>Александар Милосављевић</w:t>
            </w:r>
          </w:p>
        </w:tc>
        <w:tc>
          <w:tcPr>
            <w:tcW w:w="601" w:type="pct"/>
            <w:gridSpan w:val="2"/>
            <w:vAlign w:val="center"/>
          </w:tcPr>
          <w:p w14:paraId="11F5A5C1" w14:textId="77777777" w:rsidR="00312C68" w:rsidRPr="002D4F80" w:rsidRDefault="00312C68" w:rsidP="00A73EC1">
            <w:pPr>
              <w:spacing w:after="60"/>
              <w:rPr>
                <w:lang w:val="en-GB"/>
              </w:rPr>
            </w:pPr>
            <w:r w:rsidRPr="002D4F80">
              <w:rPr>
                <w:lang w:val="en-GB"/>
              </w:rPr>
              <w:t>2019.</w:t>
            </w:r>
          </w:p>
        </w:tc>
        <w:tc>
          <w:tcPr>
            <w:tcW w:w="680" w:type="pct"/>
            <w:gridSpan w:val="2"/>
            <w:vAlign w:val="center"/>
          </w:tcPr>
          <w:p w14:paraId="17E487E6" w14:textId="77777777" w:rsidR="00312C68" w:rsidRPr="002D4F80" w:rsidRDefault="00312C68" w:rsidP="00A73EC1">
            <w:pPr>
              <w:spacing w:after="60"/>
              <w:rPr>
                <w:lang w:val="en-GB"/>
              </w:rPr>
            </w:pPr>
          </w:p>
        </w:tc>
      </w:tr>
      <w:tr w:rsidR="00D8045D" w:rsidRPr="00D8045D" w14:paraId="207AAF08" w14:textId="77777777" w:rsidTr="00D736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2CA931E" w14:textId="77777777" w:rsidR="00D8045D" w:rsidRPr="00505413" w:rsidRDefault="00D8045D" w:rsidP="00D8045D">
            <w:pPr>
              <w:spacing w:after="60"/>
              <w:rPr>
                <w:lang w:val="sr-Cyrl-CS"/>
              </w:rPr>
            </w:pPr>
            <w:r w:rsidRPr="00505413">
              <w:rPr>
                <w:lang w:val="sr-Cyrl-CS"/>
              </w:rPr>
              <w:t>*Година  у којој је дисертација</w:t>
            </w:r>
            <w:r w:rsidRPr="00505413">
              <w:t xml:space="preserve">-докторски уметнички пројекат </w:t>
            </w:r>
            <w:r w:rsidRPr="00505413">
              <w:rPr>
                <w:lang w:val="sr-Cyrl-CS"/>
              </w:rPr>
              <w:t xml:space="preserve"> пријављена</w:t>
            </w:r>
            <w:r w:rsidRPr="00505413">
              <w:t xml:space="preserve">-пријављен </w:t>
            </w:r>
            <w:r w:rsidRPr="00505413">
              <w:rPr>
                <w:lang w:val="sr-Cyrl-CS"/>
              </w:rPr>
              <w:t>(само за дисертације</w:t>
            </w:r>
            <w:r w:rsidRPr="00505413">
              <w:t xml:space="preserve">-докторске уметничке пројекте </w:t>
            </w:r>
            <w:r w:rsidRPr="00505413">
              <w:rPr>
                <w:lang w:val="sr-Cyrl-CS"/>
              </w:rPr>
              <w:t xml:space="preserve"> које су у току), ** Година у којој је дисертација</w:t>
            </w:r>
            <w:r w:rsidRPr="00505413">
              <w:t xml:space="preserve">-докторски уметнички пројекат </w:t>
            </w:r>
            <w:r w:rsidRPr="00505413">
              <w:rPr>
                <w:lang w:val="sr-Cyrl-CS"/>
              </w:rPr>
              <w:t xml:space="preserve"> одбрањена (само за дисертације</w:t>
            </w:r>
            <w:r w:rsidRPr="00505413">
              <w:t xml:space="preserve">-докторско уметничке пројекте </w:t>
            </w:r>
            <w:r w:rsidRPr="00505413">
              <w:rPr>
                <w:lang w:val="sr-Cyrl-CS"/>
              </w:rPr>
              <w:t xml:space="preserve"> из ранијег периода)</w:t>
            </w:r>
          </w:p>
        </w:tc>
      </w:tr>
      <w:tr w:rsidR="00D8045D" w:rsidRPr="00D8045D" w14:paraId="257063A7" w14:textId="77777777" w:rsidTr="00D736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D99842D" w14:textId="77777777" w:rsidR="00D8045D" w:rsidRPr="00505413" w:rsidRDefault="00D8045D" w:rsidP="009B6328">
            <w:pPr>
              <w:spacing w:after="60"/>
              <w:rPr>
                <w:b/>
              </w:rPr>
            </w:pPr>
            <w:r w:rsidRPr="00505413">
              <w:rPr>
                <w:b/>
                <w:lang w:val="sr-Cyrl-CS"/>
              </w:rPr>
              <w:t>Категоризација публикације</w:t>
            </w:r>
            <w:r w:rsidRPr="00505413">
              <w:rPr>
                <w:b/>
              </w:rPr>
              <w:t xml:space="preserve"> научних радова  из области датог студијског програма </w:t>
            </w:r>
            <w:r w:rsidRPr="00505413">
              <w:rPr>
                <w:b/>
                <w:lang w:val="sr-Cyrl-CS"/>
              </w:rPr>
              <w:t xml:space="preserve"> према класификацији ре</w:t>
            </w:r>
            <w:r w:rsidRPr="00505413">
              <w:rPr>
                <w:b/>
              </w:rPr>
              <w:t>с</w:t>
            </w:r>
            <w:r w:rsidRPr="0050541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8045D" w:rsidRPr="00D8045D" w14:paraId="3FCDA55F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3ABC513" w14:textId="77777777" w:rsidR="00D8045D" w:rsidRPr="00505413" w:rsidRDefault="00D8045D" w:rsidP="00D8045D">
            <w:pPr>
              <w:spacing w:after="60"/>
              <w:ind w:left="-23"/>
              <w:jc w:val="center"/>
            </w:pPr>
            <w:r w:rsidRPr="00505413">
              <w:t>Р.б.</w:t>
            </w:r>
          </w:p>
        </w:tc>
        <w:tc>
          <w:tcPr>
            <w:tcW w:w="3360" w:type="pct"/>
            <w:gridSpan w:val="7"/>
          </w:tcPr>
          <w:p w14:paraId="4FB447B6" w14:textId="77777777" w:rsidR="00D8045D" w:rsidRPr="00D8045D" w:rsidRDefault="00D8045D" w:rsidP="00D8045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8045D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2" w:type="pct"/>
            <w:gridSpan w:val="2"/>
          </w:tcPr>
          <w:p w14:paraId="522FFAD7" w14:textId="77777777" w:rsidR="00D8045D" w:rsidRPr="00D8045D" w:rsidRDefault="00D8045D" w:rsidP="00D8045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045D">
              <w:rPr>
                <w:sz w:val="20"/>
                <w:szCs w:val="20"/>
              </w:rPr>
              <w:t>ISI</w:t>
            </w:r>
          </w:p>
        </w:tc>
        <w:tc>
          <w:tcPr>
            <w:tcW w:w="409" w:type="pct"/>
            <w:gridSpan w:val="2"/>
          </w:tcPr>
          <w:p w14:paraId="15B6EF43" w14:textId="77777777" w:rsidR="00D8045D" w:rsidRPr="00D8045D" w:rsidRDefault="00D8045D" w:rsidP="00D8045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045D">
              <w:rPr>
                <w:sz w:val="20"/>
                <w:szCs w:val="20"/>
              </w:rPr>
              <w:t>M</w:t>
            </w:r>
          </w:p>
        </w:tc>
        <w:tc>
          <w:tcPr>
            <w:tcW w:w="493" w:type="pct"/>
          </w:tcPr>
          <w:p w14:paraId="2605990F" w14:textId="77777777" w:rsidR="00D8045D" w:rsidRPr="00D8045D" w:rsidRDefault="00D8045D" w:rsidP="00D8045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045D">
              <w:rPr>
                <w:sz w:val="20"/>
                <w:szCs w:val="20"/>
              </w:rPr>
              <w:t>IF</w:t>
            </w:r>
          </w:p>
        </w:tc>
      </w:tr>
      <w:tr w:rsidR="00B64BF9" w:rsidRPr="00D8045D" w14:paraId="53E1241B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7970AC37" w14:textId="64A8440E" w:rsidR="00B64BF9" w:rsidRPr="003E7328" w:rsidRDefault="00B64BF9" w:rsidP="00B64BF9">
            <w:pPr>
              <w:jc w:val="center"/>
            </w:pPr>
            <w:r>
              <w:t>1.</w:t>
            </w:r>
          </w:p>
        </w:tc>
        <w:tc>
          <w:tcPr>
            <w:tcW w:w="3360" w:type="pct"/>
            <w:gridSpan w:val="7"/>
          </w:tcPr>
          <w:p w14:paraId="728BB529" w14:textId="4DC4F329" w:rsidR="00B64BF9" w:rsidRPr="00B64BF9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bCs w:val="0"/>
                <w:sz w:val="20"/>
                <w:szCs w:val="20"/>
              </w:rPr>
            </w:pPr>
            <w:r w:rsidRPr="00B64BF9">
              <w:rPr>
                <w:b w:val="0"/>
                <w:bCs w:val="0"/>
                <w:sz w:val="20"/>
                <w:szCs w:val="20"/>
              </w:rPr>
              <w:t xml:space="preserve">Srdanović I, Stefanović M, Milovančev A, Vulin A, Pantić T, Dabović D, Tadić S, Ilić A, Stojšić Milosavljević A, Bjelobrk M, Miljković T, </w:t>
            </w:r>
            <w:r w:rsidRPr="00B64BF9">
              <w:rPr>
                <w:sz w:val="20"/>
                <w:szCs w:val="20"/>
              </w:rPr>
              <w:t>Velicki L</w:t>
            </w:r>
            <w:r w:rsidRPr="00B64BF9">
              <w:rPr>
                <w:b w:val="0"/>
                <w:bCs w:val="0"/>
                <w:sz w:val="20"/>
                <w:szCs w:val="20"/>
              </w:rPr>
              <w:t xml:space="preserve">. </w:t>
            </w:r>
            <w:hyperlink r:id="rId7" w:history="1">
              <w:r w:rsidRPr="00B64BF9">
                <w:rPr>
                  <w:rStyle w:val="Hyperlink"/>
                  <w:b w:val="0"/>
                  <w:bCs w:val="0"/>
                  <w:sz w:val="20"/>
                  <w:szCs w:val="20"/>
                </w:rPr>
                <w:t>Relevance of the TAS'/PASP Ratio as a Predictor of Outcomes in Patients with Heart Failure with a Reduced Ejection Fraction</w:t>
              </w:r>
            </w:hyperlink>
            <w:r w:rsidRPr="00B64BF9">
              <w:rPr>
                <w:b w:val="0"/>
                <w:bCs w:val="0"/>
                <w:sz w:val="20"/>
                <w:szCs w:val="20"/>
              </w:rPr>
              <w:t>. Life (Basel). 2024 Jul 10;14(7):863. doi: 10.3390/life14070863.</w:t>
            </w:r>
          </w:p>
        </w:tc>
        <w:tc>
          <w:tcPr>
            <w:tcW w:w="492" w:type="pct"/>
            <w:gridSpan w:val="2"/>
            <w:vAlign w:val="center"/>
          </w:tcPr>
          <w:p w14:paraId="17B14344" w14:textId="77777777" w:rsidR="00B64BF9" w:rsidRDefault="00B64BF9" w:rsidP="00B64B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25/90</w:t>
            </w:r>
          </w:p>
          <w:p w14:paraId="74B1D768" w14:textId="066E333E" w:rsidR="00B64BF9" w:rsidRPr="0021123E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(2023)</w:t>
            </w:r>
          </w:p>
        </w:tc>
        <w:tc>
          <w:tcPr>
            <w:tcW w:w="409" w:type="pct"/>
            <w:gridSpan w:val="2"/>
            <w:vAlign w:val="center"/>
          </w:tcPr>
          <w:p w14:paraId="4CB07317" w14:textId="77777777" w:rsidR="00B64BF9" w:rsidRPr="001D5B16" w:rsidRDefault="00B64BF9" w:rsidP="00B64B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21</w:t>
            </w:r>
          </w:p>
          <w:p w14:paraId="65A1B82D" w14:textId="283C2195" w:rsidR="00B64BF9" w:rsidRDefault="00B64BF9" w:rsidP="00B64BF9">
            <w:pPr>
              <w:jc w:val="center"/>
            </w:pPr>
            <w:r w:rsidRPr="001D5B16">
              <w:t>(2023)</w:t>
            </w:r>
          </w:p>
        </w:tc>
        <w:tc>
          <w:tcPr>
            <w:tcW w:w="493" w:type="pct"/>
            <w:vAlign w:val="center"/>
          </w:tcPr>
          <w:p w14:paraId="25E11E02" w14:textId="77777777" w:rsidR="00B64BF9" w:rsidRPr="001D5B16" w:rsidRDefault="00B64BF9" w:rsidP="00B64B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3.2</w:t>
            </w:r>
          </w:p>
          <w:p w14:paraId="082378E2" w14:textId="4848F424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D5B16">
              <w:t>(2023)</w:t>
            </w:r>
          </w:p>
        </w:tc>
      </w:tr>
      <w:tr w:rsidR="00B64BF9" w:rsidRPr="00D8045D" w14:paraId="6EAB09B0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4F4E0DF2" w14:textId="77D05CF5" w:rsidR="00B64BF9" w:rsidRPr="003E7328" w:rsidRDefault="00B64BF9" w:rsidP="00B64BF9">
            <w:pPr>
              <w:jc w:val="center"/>
            </w:pPr>
            <w:r>
              <w:t>2.</w:t>
            </w:r>
          </w:p>
        </w:tc>
        <w:tc>
          <w:tcPr>
            <w:tcW w:w="3360" w:type="pct"/>
            <w:gridSpan w:val="7"/>
          </w:tcPr>
          <w:p w14:paraId="0079CDFE" w14:textId="5216A678" w:rsidR="00B64BF9" w:rsidRPr="0021123E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Jarić S, </w:t>
            </w:r>
            <w:r w:rsidRPr="0021123E">
              <w:rPr>
                <w:b w:val="0"/>
                <w:sz w:val="20"/>
                <w:szCs w:val="20"/>
              </w:rPr>
              <w:t>Schobesberger</w:t>
            </w:r>
            <w:r>
              <w:rPr>
                <w:b w:val="0"/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, Milovančev A, Nikolić S, Ertl P, et al. </w:t>
            </w:r>
            <w:hyperlink r:id="rId8" w:history="1">
              <w:r w:rsidRPr="0021123E">
                <w:rPr>
                  <w:rStyle w:val="Hyperlink"/>
                  <w:b w:val="0"/>
                  <w:sz w:val="20"/>
                  <w:szCs w:val="20"/>
                </w:rPr>
                <w:t>Direct electrochemical reduction of graphene oxide thin film for aptamer-based selective and highly sensitive detection of matrix metalloproteinase 2.</w:t>
              </w:r>
            </w:hyperlink>
            <w:r>
              <w:rPr>
                <w:b w:val="0"/>
                <w:sz w:val="20"/>
                <w:szCs w:val="20"/>
              </w:rPr>
              <w:t xml:space="preserve"> Talanta. 2024;274:</w:t>
            </w:r>
            <w:r w:rsidRPr="0021123E">
              <w:rPr>
                <w:b w:val="0"/>
                <w:sz w:val="20"/>
                <w:szCs w:val="20"/>
              </w:rPr>
              <w:t>126079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2" w:type="pct"/>
            <w:gridSpan w:val="2"/>
            <w:vAlign w:val="center"/>
          </w:tcPr>
          <w:p w14:paraId="5BE02AEA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1123E">
              <w:rPr>
                <w:rFonts w:eastAsia="Times New Roman"/>
                <w:lang w:val="en-US" w:eastAsia="en-US"/>
              </w:rPr>
              <w:t>11/86</w:t>
            </w:r>
          </w:p>
          <w:p w14:paraId="41DB4234" w14:textId="77777777" w:rsidR="00B64BF9" w:rsidRPr="0021123E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09" w:type="pct"/>
            <w:gridSpan w:val="2"/>
            <w:vAlign w:val="center"/>
          </w:tcPr>
          <w:p w14:paraId="1387991D" w14:textId="77777777" w:rsidR="00B64BF9" w:rsidRDefault="00B64BF9" w:rsidP="00B64BF9">
            <w:pPr>
              <w:jc w:val="center"/>
            </w:pPr>
            <w:r>
              <w:t>21</w:t>
            </w:r>
          </w:p>
          <w:p w14:paraId="5409A74E" w14:textId="77777777" w:rsidR="00B64BF9" w:rsidRDefault="00B64BF9" w:rsidP="00B64BF9">
            <w:pPr>
              <w:jc w:val="center"/>
            </w:pPr>
            <w:r>
              <w:t>(2023)</w:t>
            </w:r>
          </w:p>
        </w:tc>
        <w:tc>
          <w:tcPr>
            <w:tcW w:w="493" w:type="pct"/>
            <w:vAlign w:val="center"/>
          </w:tcPr>
          <w:p w14:paraId="116436E7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5.6</w:t>
            </w:r>
          </w:p>
          <w:p w14:paraId="4C9AEE0B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B64BF9" w:rsidRPr="00D8045D" w14:paraId="39D7C513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329FA225" w14:textId="66CCE5B1" w:rsidR="00B64BF9" w:rsidRPr="003E7328" w:rsidRDefault="00B64BF9" w:rsidP="00B64BF9">
            <w:pPr>
              <w:jc w:val="center"/>
            </w:pPr>
            <w: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311C2D00" w14:textId="77777777" w:rsidR="00B64BF9" w:rsidRPr="0021123E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Mladenović N, Zdravković R, </w:t>
            </w:r>
            <w:r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, Drljević Todić V, Maletin M, Mladenović S, et al. </w:t>
            </w:r>
            <w:hyperlink r:id="rId9" w:history="1">
              <w:r w:rsidRPr="0021123E">
                <w:rPr>
                  <w:rStyle w:val="Hyperlink"/>
                  <w:b w:val="0"/>
                  <w:sz w:val="20"/>
                  <w:szCs w:val="20"/>
                </w:rPr>
                <w:t>Significance of Galectin-3 and N-Terminal Pro B-Type Natriuretic Peptide in the Prediction of Atrial Fibrillation After Cardiac Surgery</w:t>
              </w:r>
            </w:hyperlink>
            <w:r>
              <w:rPr>
                <w:b w:val="0"/>
                <w:sz w:val="20"/>
                <w:szCs w:val="20"/>
              </w:rPr>
              <w:t>. J Med Biochem. 2024;43(3):397-405.</w:t>
            </w:r>
          </w:p>
        </w:tc>
        <w:tc>
          <w:tcPr>
            <w:tcW w:w="492" w:type="pct"/>
            <w:gridSpan w:val="2"/>
            <w:vAlign w:val="center"/>
          </w:tcPr>
          <w:p w14:paraId="20F71E63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1123E">
              <w:rPr>
                <w:rFonts w:eastAsia="Times New Roman"/>
                <w:lang w:val="en-US" w:eastAsia="en-US"/>
              </w:rPr>
              <w:t>233/285</w:t>
            </w:r>
          </w:p>
          <w:p w14:paraId="43557715" w14:textId="77777777" w:rsidR="00B64BF9" w:rsidRPr="0021123E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09" w:type="pct"/>
            <w:gridSpan w:val="2"/>
            <w:vAlign w:val="center"/>
          </w:tcPr>
          <w:p w14:paraId="40C64688" w14:textId="77777777" w:rsidR="00B64BF9" w:rsidRDefault="00B64BF9" w:rsidP="00B64BF9">
            <w:pPr>
              <w:jc w:val="center"/>
            </w:pPr>
            <w:r>
              <w:t>23</w:t>
            </w:r>
          </w:p>
          <w:p w14:paraId="118CAA73" w14:textId="77777777" w:rsidR="00B64BF9" w:rsidRDefault="00B64BF9" w:rsidP="00B64BF9">
            <w:pPr>
              <w:jc w:val="center"/>
            </w:pPr>
            <w:r>
              <w:t>(2023)</w:t>
            </w:r>
          </w:p>
        </w:tc>
        <w:tc>
          <w:tcPr>
            <w:tcW w:w="493" w:type="pct"/>
            <w:vAlign w:val="center"/>
          </w:tcPr>
          <w:p w14:paraId="5C73A57D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2.0</w:t>
            </w:r>
          </w:p>
          <w:p w14:paraId="5BA09097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B64BF9" w:rsidRPr="00D8045D" w14:paraId="1C80BB47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25B04A0A" w14:textId="2BF4D12F" w:rsidR="00B64BF9" w:rsidRPr="003E7328" w:rsidRDefault="00B64BF9" w:rsidP="00B64BF9">
            <w:pPr>
              <w:jc w:val="center"/>
            </w:pPr>
            <w: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71516D4" w14:textId="77777777" w:rsidR="00B64BF9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21123E">
              <w:rPr>
                <w:b w:val="0"/>
                <w:sz w:val="20"/>
                <w:szCs w:val="20"/>
              </w:rPr>
              <w:t xml:space="preserve">Vazirani R, Feltes G, Hoyo RS, Viana-Llamas MC, Raposeiras-Roubín S, </w:t>
            </w:r>
            <w:r>
              <w:rPr>
                <w:b w:val="0"/>
                <w:sz w:val="20"/>
                <w:szCs w:val="20"/>
              </w:rPr>
              <w:t>et al…</w:t>
            </w:r>
            <w:r w:rsidRPr="0021123E">
              <w:rPr>
                <w:sz w:val="20"/>
                <w:szCs w:val="20"/>
              </w:rPr>
              <w:t xml:space="preserve">Velicki </w:t>
            </w:r>
            <w:r w:rsidRPr="0021123E">
              <w:rPr>
                <w:sz w:val="20"/>
                <w:szCs w:val="20"/>
              </w:rPr>
              <w:lastRenderedPageBreak/>
              <w:t>L</w:t>
            </w:r>
            <w:r w:rsidRPr="0021123E">
              <w:rPr>
                <w:b w:val="0"/>
                <w:sz w:val="20"/>
                <w:szCs w:val="20"/>
              </w:rPr>
              <w:t xml:space="preserve">; HOPE-2 Investigators. </w:t>
            </w:r>
            <w:hyperlink r:id="rId10" w:history="1">
              <w:r w:rsidRPr="0021123E">
                <w:rPr>
                  <w:rStyle w:val="Hyperlink"/>
                  <w:b w:val="0"/>
                  <w:sz w:val="20"/>
                  <w:szCs w:val="20"/>
                </w:rPr>
                <w:t>Elevated Troponins after COVID-19 Hospitalization and Long-Term COVID-19 Symptoms: Incidence, Prognosis, and Clinical Outcomes-Results from a Multi-Center International Prospective Registry (HOPE-2)</w:t>
              </w:r>
            </w:hyperlink>
            <w:r w:rsidRPr="0021123E">
              <w:rPr>
                <w:b w:val="0"/>
                <w:sz w:val="20"/>
                <w:szCs w:val="20"/>
              </w:rPr>
              <w:t>. J Clin Med. 2024 Apr 28;13(9):2596.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B64BF9" w:rsidRPr="0021123E" w14:paraId="2C4571CF" w14:textId="77777777" w:rsidTr="0021123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F19C1DE" w14:textId="77777777" w:rsidR="00B64BF9" w:rsidRPr="0021123E" w:rsidRDefault="00B64BF9" w:rsidP="00B64BF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1A2F4F6C" w14:textId="77777777" w:rsidR="00B64BF9" w:rsidRDefault="00B64BF9" w:rsidP="00B64BF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21123E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  <w:p w14:paraId="240699C2" w14:textId="77777777" w:rsidR="00B64BF9" w:rsidRPr="0021123E" w:rsidRDefault="00B64BF9" w:rsidP="00B64BF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lastRenderedPageBreak/>
                    <w:t>(2023)</w:t>
                  </w:r>
                </w:p>
              </w:tc>
            </w:tr>
            <w:tr w:rsidR="00B64BF9" w:rsidRPr="0021123E" w14:paraId="379E305C" w14:textId="77777777" w:rsidTr="0021123E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7F2BCCDD" w14:textId="77777777" w:rsidR="00B64BF9" w:rsidRPr="0021123E" w:rsidRDefault="00B64BF9" w:rsidP="00B64BF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E5F431B" w14:textId="77777777" w:rsidR="00B64BF9" w:rsidRPr="0021123E" w:rsidRDefault="00B64BF9" w:rsidP="00B64BF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</w:tr>
          </w:tbl>
          <w:p w14:paraId="4AB21330" w14:textId="77777777" w:rsidR="00B64BF9" w:rsidRPr="000B0E36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2C96E324" w14:textId="77777777" w:rsidR="00B64BF9" w:rsidRDefault="00B64BF9" w:rsidP="00B64BF9">
            <w:pPr>
              <w:jc w:val="center"/>
            </w:pPr>
            <w:r>
              <w:lastRenderedPageBreak/>
              <w:t>22</w:t>
            </w:r>
          </w:p>
          <w:p w14:paraId="3394B997" w14:textId="77777777" w:rsidR="00B64BF9" w:rsidRDefault="00B64BF9" w:rsidP="00B64BF9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493" w:type="pct"/>
            <w:vAlign w:val="center"/>
          </w:tcPr>
          <w:p w14:paraId="6BA0A3B4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lastRenderedPageBreak/>
              <w:t>3.0</w:t>
            </w:r>
          </w:p>
          <w:p w14:paraId="0CB52608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lastRenderedPageBreak/>
              <w:t>(2023)</w:t>
            </w:r>
          </w:p>
        </w:tc>
      </w:tr>
      <w:tr w:rsidR="00B64BF9" w:rsidRPr="00D8045D" w14:paraId="1153542E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119D5961" w14:textId="7924F3BF" w:rsidR="00B64BF9" w:rsidRPr="003E7328" w:rsidRDefault="00B64BF9" w:rsidP="00B64BF9">
            <w:pPr>
              <w:jc w:val="center"/>
            </w:pPr>
            <w:r>
              <w:lastRenderedPageBreak/>
              <w:t>5.</w:t>
            </w:r>
          </w:p>
        </w:tc>
        <w:tc>
          <w:tcPr>
            <w:tcW w:w="3360" w:type="pct"/>
            <w:gridSpan w:val="7"/>
          </w:tcPr>
          <w:p w14:paraId="5C7A95C2" w14:textId="77777777" w:rsidR="00B64BF9" w:rsidRPr="0021123E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Stojaković N, Mihajlović B, Ninković J, Rajić J, Vučković J, et al…</w:t>
            </w:r>
            <w:r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. </w:t>
            </w:r>
            <w:hyperlink r:id="rId11" w:history="1">
              <w:r w:rsidRPr="0021123E">
                <w:rPr>
                  <w:rStyle w:val="Hyperlink"/>
                  <w:b w:val="0"/>
                  <w:sz w:val="20"/>
                  <w:szCs w:val="20"/>
                </w:rPr>
                <w:t>Cardiac surgery intensive care unit nursing workload assessment using Nursing Activities Score</w:t>
              </w:r>
            </w:hyperlink>
            <w:r>
              <w:rPr>
                <w:b w:val="0"/>
                <w:sz w:val="20"/>
                <w:szCs w:val="20"/>
              </w:rPr>
              <w:t>. Srp Arh Celok Lek. 2023;151(7-8):447-52.</w:t>
            </w:r>
          </w:p>
        </w:tc>
        <w:tc>
          <w:tcPr>
            <w:tcW w:w="492" w:type="pct"/>
            <w:gridSpan w:val="2"/>
            <w:vAlign w:val="center"/>
          </w:tcPr>
          <w:p w14:paraId="65D0242B" w14:textId="77777777" w:rsidR="00B64BF9" w:rsidRPr="0021123E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1123E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09" w:type="pct"/>
            <w:gridSpan w:val="2"/>
            <w:vAlign w:val="center"/>
          </w:tcPr>
          <w:p w14:paraId="7D0866A6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4656F720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B64BF9" w:rsidRPr="00D8045D" w14:paraId="33E00A89" w14:textId="77777777" w:rsidTr="0021123E">
        <w:trPr>
          <w:trHeight w:val="227"/>
          <w:jc w:val="center"/>
        </w:trPr>
        <w:tc>
          <w:tcPr>
            <w:tcW w:w="246" w:type="pct"/>
            <w:vAlign w:val="center"/>
          </w:tcPr>
          <w:p w14:paraId="44D11C1D" w14:textId="5ADB655E" w:rsidR="00B64BF9" w:rsidRPr="003E7328" w:rsidRDefault="00B64BF9" w:rsidP="00B64BF9">
            <w:pPr>
              <w:jc w:val="center"/>
            </w:pPr>
            <w:r>
              <w:t>6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5304F3E" w14:textId="77777777" w:rsidR="00B64BF9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E81B07">
              <w:rPr>
                <w:b w:val="0"/>
                <w:sz w:val="20"/>
                <w:szCs w:val="20"/>
              </w:rPr>
              <w:t xml:space="preserve">Glavaški M, </w:t>
            </w:r>
            <w:r w:rsidRPr="00E81B07">
              <w:rPr>
                <w:sz w:val="20"/>
                <w:szCs w:val="20"/>
              </w:rPr>
              <w:t>Velicki L</w:t>
            </w:r>
            <w:r w:rsidRPr="00E81B07">
              <w:rPr>
                <w:b w:val="0"/>
                <w:sz w:val="20"/>
                <w:szCs w:val="20"/>
              </w:rPr>
              <w:t xml:space="preserve">, Vučinić N. </w:t>
            </w:r>
            <w:hyperlink r:id="rId12" w:history="1">
              <w:r w:rsidRPr="0021123E">
                <w:rPr>
                  <w:rStyle w:val="Hyperlink"/>
                  <w:b w:val="0"/>
                  <w:sz w:val="20"/>
                  <w:szCs w:val="20"/>
                </w:rPr>
                <w:t>Hypertrophic Cardiomyopathy: Genetic Foundations, Outcomes, Interconnections, and Their Modifiers</w:t>
              </w:r>
            </w:hyperlink>
            <w:r w:rsidRPr="00E81B07">
              <w:rPr>
                <w:b w:val="0"/>
                <w:sz w:val="20"/>
                <w:szCs w:val="20"/>
              </w:rPr>
              <w:t>. Medicina (Kaunas). 2023 Aug 4;59(8):1424</w:t>
            </w:r>
          </w:p>
        </w:tc>
        <w:tc>
          <w:tcPr>
            <w:tcW w:w="492" w:type="pct"/>
            <w:gridSpan w:val="2"/>
            <w:vAlign w:val="center"/>
          </w:tcPr>
          <w:p w14:paraId="495CB4AC" w14:textId="77777777" w:rsidR="00B64BF9" w:rsidRPr="0021123E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1123E">
              <w:rPr>
                <w:rFonts w:eastAsia="Times New Roman"/>
                <w:lang w:val="en-US" w:eastAsia="en-US"/>
              </w:rPr>
              <w:t>79/167</w:t>
            </w:r>
          </w:p>
        </w:tc>
        <w:tc>
          <w:tcPr>
            <w:tcW w:w="409" w:type="pct"/>
            <w:gridSpan w:val="2"/>
            <w:vAlign w:val="center"/>
          </w:tcPr>
          <w:p w14:paraId="048BF857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08C2CA85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2.4</w:t>
            </w:r>
          </w:p>
        </w:tc>
      </w:tr>
      <w:tr w:rsidR="00B64BF9" w:rsidRPr="00D8045D" w14:paraId="4346037A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50108C8" w14:textId="22CF4777" w:rsidR="00B64BF9" w:rsidRPr="003E7328" w:rsidRDefault="00B64BF9" w:rsidP="00B64BF9">
            <w:pPr>
              <w:jc w:val="center"/>
            </w:pPr>
            <w:r>
              <w:t>7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03BAA06D" w14:textId="77777777" w:rsidR="00B64BF9" w:rsidRPr="000B0E36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Srdanović I, Stefanović M, Miljković T, Bjelić S, Trajković M, et al…</w:t>
            </w:r>
            <w:r>
              <w:rPr>
                <w:sz w:val="20"/>
                <w:szCs w:val="20"/>
              </w:rPr>
              <w:t>Lazar V.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" w:history="1">
              <w:r w:rsidRPr="000B0E36">
                <w:rPr>
                  <w:rStyle w:val="Hyperlink"/>
                  <w:b w:val="0"/>
                  <w:sz w:val="20"/>
                  <w:szCs w:val="20"/>
                </w:rPr>
                <w:t>Pulmonary Valve Endocarditis during and beyond Euro ENDO Registry: A Single Center Case Series</w:t>
              </w:r>
            </w:hyperlink>
            <w:r>
              <w:rPr>
                <w:b w:val="0"/>
                <w:sz w:val="20"/>
                <w:szCs w:val="20"/>
              </w:rPr>
              <w:t>. 2023;59(7):1213.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B64BF9" w:rsidRPr="000B0E36" w14:paraId="79761184" w14:textId="77777777" w:rsidTr="000B0E3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9A918D1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5729CBA3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64AF9">
                    <w:rPr>
                      <w:rFonts w:eastAsia="Times New Roman"/>
                      <w:lang w:val="en-US" w:eastAsia="en-US"/>
                    </w:rPr>
                    <w:t>79/167</w:t>
                  </w:r>
                </w:p>
              </w:tc>
            </w:tr>
          </w:tbl>
          <w:p w14:paraId="418AE4F9" w14:textId="77777777" w:rsidR="00B64BF9" w:rsidRPr="000B0E36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087EED37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085F18C5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2.4</w:t>
            </w:r>
          </w:p>
        </w:tc>
      </w:tr>
      <w:tr w:rsidR="00B64BF9" w:rsidRPr="00D8045D" w14:paraId="19FF88C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00024DA" w14:textId="569B4A41" w:rsidR="00B64BF9" w:rsidRPr="003E7328" w:rsidRDefault="00B64BF9" w:rsidP="00B64BF9">
            <w:pPr>
              <w:jc w:val="center"/>
            </w:pPr>
            <w:r>
              <w:t>8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092AE9D" w14:textId="77777777" w:rsidR="00B64BF9" w:rsidRPr="00054538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0B0E36">
              <w:rPr>
                <w:b w:val="0"/>
                <w:sz w:val="20"/>
                <w:szCs w:val="20"/>
              </w:rPr>
              <w:t xml:space="preserve">Milićević B, Milošević M, Simić V, Preveden A, </w:t>
            </w:r>
            <w:r w:rsidRPr="000B0E36">
              <w:rPr>
                <w:sz w:val="20"/>
                <w:szCs w:val="20"/>
              </w:rPr>
              <w:t>Velicki L</w:t>
            </w:r>
            <w:r w:rsidRPr="000B0E36">
              <w:rPr>
                <w:b w:val="0"/>
                <w:sz w:val="20"/>
                <w:szCs w:val="20"/>
              </w:rPr>
              <w:t xml:space="preserve">, Jakovljević Đ, </w:t>
            </w:r>
            <w:r>
              <w:rPr>
                <w:b w:val="0"/>
                <w:sz w:val="20"/>
                <w:szCs w:val="20"/>
              </w:rPr>
              <w:t>et al</w:t>
            </w:r>
            <w:r w:rsidRPr="000B0E36">
              <w:rPr>
                <w:b w:val="0"/>
                <w:sz w:val="20"/>
                <w:szCs w:val="20"/>
              </w:rPr>
              <w:t xml:space="preserve">. </w:t>
            </w:r>
            <w:hyperlink r:id="rId14" w:history="1">
              <w:r w:rsidRPr="000B0E36">
                <w:rPr>
                  <w:rStyle w:val="Hyperlink"/>
                  <w:b w:val="0"/>
                  <w:sz w:val="20"/>
                  <w:szCs w:val="20"/>
                </w:rPr>
                <w:t>Machine learning and physical based modeling for cardiac hypertrophy.</w:t>
              </w:r>
            </w:hyperlink>
            <w:r w:rsidRPr="000B0E36">
              <w:rPr>
                <w:b w:val="0"/>
                <w:sz w:val="20"/>
                <w:szCs w:val="20"/>
              </w:rPr>
              <w:t xml:space="preserve"> Heliyon. 2023 May 27;9(6):e16724.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B64BF9" w:rsidRPr="000B0E36" w14:paraId="2324E511" w14:textId="77777777" w:rsidTr="000B0E3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6419AC6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3DDB5A53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64AF9">
                    <w:rPr>
                      <w:rFonts w:eastAsia="Times New Roman"/>
                      <w:lang w:val="en-US" w:eastAsia="en-US"/>
                    </w:rPr>
                    <w:t>24/72</w:t>
                  </w:r>
                </w:p>
              </w:tc>
            </w:tr>
            <w:tr w:rsidR="00B64BF9" w:rsidRPr="000B0E36" w14:paraId="13E6B984" w14:textId="77777777" w:rsidTr="000B0E3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9747885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64405AC2" w14:textId="77777777" w:rsidR="00B64BF9" w:rsidRPr="000B0E36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1567CC28" w14:textId="77777777" w:rsidR="00B64BF9" w:rsidRPr="00054538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4A0FCDC8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5B5654C9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3.4</w:t>
            </w:r>
          </w:p>
        </w:tc>
      </w:tr>
      <w:tr w:rsidR="00B64BF9" w:rsidRPr="00D8045D" w14:paraId="6B68525C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B2EE107" w14:textId="2BF81E86" w:rsidR="00B64BF9" w:rsidRPr="003E7328" w:rsidRDefault="00B64BF9" w:rsidP="00B64BF9">
            <w:pPr>
              <w:jc w:val="center"/>
            </w:pPr>
            <w:r>
              <w:t>9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07BC639" w14:textId="77777777" w:rsidR="00B64BF9" w:rsidRPr="00054538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054538">
              <w:rPr>
                <w:b w:val="0"/>
                <w:sz w:val="20"/>
                <w:szCs w:val="20"/>
              </w:rPr>
              <w:t xml:space="preserve">Mulet A, Núñez-Gil IJ, Carbonell JA, Soriano JB, Viana-Llamas MC, </w:t>
            </w:r>
            <w:r>
              <w:rPr>
                <w:b w:val="0"/>
                <w:sz w:val="20"/>
                <w:szCs w:val="20"/>
              </w:rPr>
              <w:t>et al…</w:t>
            </w:r>
            <w:r>
              <w:rPr>
                <w:sz w:val="20"/>
                <w:szCs w:val="20"/>
              </w:rPr>
              <w:t>Velicki L</w:t>
            </w:r>
            <w:r w:rsidRPr="00054538">
              <w:rPr>
                <w:b w:val="0"/>
                <w:sz w:val="20"/>
                <w:szCs w:val="20"/>
              </w:rPr>
              <w:t xml:space="preserve">. </w:t>
            </w:r>
            <w:hyperlink r:id="rId15" w:history="1">
              <w:r w:rsidRPr="00054538">
                <w:rPr>
                  <w:rStyle w:val="Hyperlink"/>
                  <w:b w:val="0"/>
                  <w:sz w:val="20"/>
                  <w:szCs w:val="20"/>
                </w:rPr>
                <w:t>Clinical Profile and Determinants of Mortality in Patients with Interstitial Lung Disease Admitted for COVID-19</w:t>
              </w:r>
            </w:hyperlink>
            <w:r w:rsidRPr="00054538">
              <w:rPr>
                <w:b w:val="0"/>
                <w:sz w:val="20"/>
                <w:szCs w:val="20"/>
              </w:rPr>
              <w:t>. J Clin Med. 2023 Jun 2;12(11):3821.</w:t>
            </w:r>
          </w:p>
        </w:tc>
        <w:tc>
          <w:tcPr>
            <w:tcW w:w="492" w:type="pct"/>
            <w:gridSpan w:val="2"/>
            <w:vAlign w:val="center"/>
          </w:tcPr>
          <w:p w14:paraId="37705C23" w14:textId="77777777" w:rsidR="00B64BF9" w:rsidRPr="00054538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64AF9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09" w:type="pct"/>
            <w:gridSpan w:val="2"/>
            <w:vAlign w:val="center"/>
          </w:tcPr>
          <w:p w14:paraId="6C8B85FA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3F9FAACD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</w:tc>
      </w:tr>
      <w:tr w:rsidR="00B64BF9" w:rsidRPr="00D8045D" w14:paraId="2630908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1C2C9619" w14:textId="58C43C10" w:rsidR="00B64BF9" w:rsidRPr="003E7328" w:rsidRDefault="00B64BF9" w:rsidP="00B64BF9">
            <w:pPr>
              <w:jc w:val="center"/>
            </w:pPr>
            <w:r>
              <w:t>10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5870E87" w14:textId="77777777" w:rsidR="00B64BF9" w:rsidRPr="007E5D00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054538">
              <w:rPr>
                <w:b w:val="0"/>
                <w:sz w:val="20"/>
                <w:szCs w:val="20"/>
              </w:rPr>
              <w:t xml:space="preserve">Abumayyaleh M, Núñez Gil IJ, Viana-LLamas MC, Raposeiras Roubin S, Romero R, </w:t>
            </w:r>
            <w:r>
              <w:rPr>
                <w:b w:val="0"/>
                <w:sz w:val="20"/>
                <w:szCs w:val="20"/>
              </w:rPr>
              <w:t>et al…</w:t>
            </w:r>
            <w:r>
              <w:rPr>
                <w:sz w:val="20"/>
                <w:szCs w:val="20"/>
              </w:rPr>
              <w:t>Velicki L</w:t>
            </w:r>
            <w:r w:rsidRPr="00054538">
              <w:rPr>
                <w:b w:val="0"/>
                <w:sz w:val="20"/>
                <w:szCs w:val="20"/>
              </w:rPr>
              <w:t xml:space="preserve">; HOPE COVID-19 investigators. </w:t>
            </w:r>
            <w:hyperlink r:id="rId16" w:history="1">
              <w:r w:rsidRPr="00054538">
                <w:rPr>
                  <w:rStyle w:val="Hyperlink"/>
                  <w:b w:val="0"/>
                  <w:sz w:val="20"/>
                  <w:szCs w:val="20"/>
                </w:rPr>
                <w:t>Post-COVID-19 syndrome and diabetes mellitus: a propensity-matched analysis of the International HOPE-II COVID-19 Registry</w:t>
              </w:r>
            </w:hyperlink>
            <w:r w:rsidRPr="00054538">
              <w:rPr>
                <w:b w:val="0"/>
                <w:sz w:val="20"/>
                <w:szCs w:val="20"/>
              </w:rPr>
              <w:t>. Front Endocrinol (Lausanne). 2023 May 16;14:1167087.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B64BF9" w:rsidRPr="00054538" w14:paraId="578593D3" w14:textId="77777777" w:rsidTr="0005453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9453BE4" w14:textId="77777777" w:rsidR="00B64BF9" w:rsidRPr="00054538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50177491" w14:textId="77777777" w:rsidR="00B64BF9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54538">
                    <w:rPr>
                      <w:rFonts w:eastAsia="Times New Roman"/>
                      <w:lang w:val="en-US" w:eastAsia="en-US"/>
                    </w:rPr>
                    <w:t>36/145</w:t>
                  </w:r>
                </w:p>
                <w:p w14:paraId="2EDFB73E" w14:textId="77777777" w:rsidR="00B64BF9" w:rsidRPr="00054538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14:paraId="3A84D860" w14:textId="77777777" w:rsidR="00B64BF9" w:rsidRPr="007E5D00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156DA2BC" w14:textId="77777777" w:rsidR="00B64BF9" w:rsidRDefault="00B64BF9" w:rsidP="00B64BF9">
            <w:pPr>
              <w:jc w:val="center"/>
            </w:pPr>
            <w:r>
              <w:t>21</w:t>
            </w:r>
          </w:p>
          <w:p w14:paraId="2A08C131" w14:textId="77777777" w:rsidR="00B64BF9" w:rsidRDefault="00B64BF9" w:rsidP="00B64BF9">
            <w:pPr>
              <w:jc w:val="center"/>
            </w:pPr>
            <w:r>
              <w:t>(2022)</w:t>
            </w:r>
          </w:p>
        </w:tc>
        <w:tc>
          <w:tcPr>
            <w:tcW w:w="493" w:type="pct"/>
            <w:vAlign w:val="center"/>
          </w:tcPr>
          <w:p w14:paraId="2CE845CD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5.6</w:t>
            </w:r>
          </w:p>
          <w:p w14:paraId="65CA8A82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B64BF9" w:rsidRPr="00D8045D" w14:paraId="6DE1219D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025ECE1" w14:textId="097456D4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1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39FD390C" w14:textId="77777777" w:rsidR="00B64BF9" w:rsidRPr="007E5D00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E5D00">
              <w:rPr>
                <w:b w:val="0"/>
                <w:sz w:val="20"/>
                <w:szCs w:val="20"/>
              </w:rPr>
              <w:t>Jeremi</w:t>
            </w:r>
            <w:r>
              <w:rPr>
                <w:b w:val="0"/>
                <w:sz w:val="20"/>
                <w:szCs w:val="20"/>
              </w:rPr>
              <w:t>ć</w:t>
            </w:r>
            <w:r w:rsidRPr="007E5D00">
              <w:rPr>
                <w:b w:val="0"/>
                <w:sz w:val="20"/>
                <w:szCs w:val="20"/>
              </w:rPr>
              <w:t xml:space="preserve"> J, Govoruskina N, Bradi</w:t>
            </w:r>
            <w:r>
              <w:rPr>
                <w:b w:val="0"/>
                <w:sz w:val="20"/>
                <w:szCs w:val="20"/>
              </w:rPr>
              <w:t>ć</w:t>
            </w:r>
            <w:r w:rsidRPr="007E5D00">
              <w:rPr>
                <w:b w:val="0"/>
                <w:sz w:val="20"/>
                <w:szCs w:val="20"/>
              </w:rPr>
              <w:t xml:space="preserve"> J, Milosavljevi</w:t>
            </w:r>
            <w:r>
              <w:rPr>
                <w:b w:val="0"/>
                <w:sz w:val="20"/>
                <w:szCs w:val="20"/>
              </w:rPr>
              <w:t>ć</w:t>
            </w:r>
            <w:r w:rsidRPr="007E5D00">
              <w:rPr>
                <w:b w:val="0"/>
                <w:sz w:val="20"/>
                <w:szCs w:val="20"/>
              </w:rPr>
              <w:t xml:space="preserve"> I, Srejovi</w:t>
            </w:r>
            <w:r>
              <w:rPr>
                <w:b w:val="0"/>
                <w:sz w:val="20"/>
                <w:szCs w:val="20"/>
              </w:rPr>
              <w:t>ć</w:t>
            </w:r>
            <w:r w:rsidRPr="007E5D00">
              <w:rPr>
                <w:b w:val="0"/>
                <w:sz w:val="20"/>
                <w:szCs w:val="20"/>
              </w:rPr>
              <w:t xml:space="preserve"> I, </w:t>
            </w:r>
            <w:r>
              <w:rPr>
                <w:b w:val="0"/>
                <w:sz w:val="20"/>
                <w:szCs w:val="20"/>
              </w:rPr>
              <w:t>et al…</w:t>
            </w:r>
            <w:r>
              <w:rPr>
                <w:sz w:val="20"/>
                <w:szCs w:val="20"/>
              </w:rPr>
              <w:t>Velicki L.</w:t>
            </w:r>
            <w:r w:rsidRPr="007E5D00">
              <w:rPr>
                <w:b w:val="0"/>
                <w:sz w:val="20"/>
                <w:szCs w:val="20"/>
              </w:rPr>
              <w:t xml:space="preserve"> </w:t>
            </w:r>
            <w:hyperlink r:id="rId17" w:history="1">
              <w:r w:rsidRPr="007E5D00">
                <w:rPr>
                  <w:rStyle w:val="Hyperlink"/>
                  <w:b w:val="0"/>
                  <w:sz w:val="20"/>
                  <w:szCs w:val="20"/>
                </w:rPr>
                <w:t>Sacubitril/valsartan reverses cardiac structure and function in experimental model of hypertension-induced hypertrophic cardiomyopathy.</w:t>
              </w:r>
            </w:hyperlink>
            <w:r w:rsidRPr="007E5D00">
              <w:rPr>
                <w:b w:val="0"/>
                <w:sz w:val="20"/>
                <w:szCs w:val="20"/>
              </w:rPr>
              <w:t xml:space="preserve"> Mol Cell Biochem. 2023 Mar 30.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B64BF9" w:rsidRPr="007E5D00" w14:paraId="360987EF" w14:textId="77777777" w:rsidTr="007E5D0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2825BDF" w14:textId="77777777" w:rsidR="00B64BF9" w:rsidRPr="007E5D00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1E0B640A" w14:textId="77777777" w:rsidR="00B64BF9" w:rsidRPr="007E5D00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806D1">
                    <w:rPr>
                      <w:rFonts w:eastAsia="Times New Roman"/>
                      <w:lang w:val="en-US" w:eastAsia="en-US"/>
                    </w:rPr>
                    <w:t>104/191</w:t>
                  </w:r>
                </w:p>
              </w:tc>
            </w:tr>
          </w:tbl>
          <w:p w14:paraId="26B0AD6C" w14:textId="77777777" w:rsidR="00B64BF9" w:rsidRPr="007E5D00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2F9DAA7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26463161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3.5</w:t>
            </w:r>
          </w:p>
        </w:tc>
      </w:tr>
      <w:tr w:rsidR="00B64BF9" w:rsidRPr="00D8045D" w14:paraId="75D68DB8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0D379E5" w14:textId="0B68EE6B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2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BF83BC0" w14:textId="77777777" w:rsidR="00B64BF9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E5D00">
              <w:rPr>
                <w:b w:val="0"/>
                <w:sz w:val="20"/>
                <w:szCs w:val="20"/>
              </w:rPr>
              <w:t>Núñez-Gil IJ, Feltes G, Viana-Llamas MC</w:t>
            </w:r>
            <w:r>
              <w:rPr>
                <w:b w:val="0"/>
                <w:sz w:val="20"/>
                <w:szCs w:val="20"/>
              </w:rPr>
              <w:t>, Raposeiras-Roubin S, Romero R, et al…</w:t>
            </w:r>
            <w:r>
              <w:rPr>
                <w:sz w:val="20"/>
                <w:szCs w:val="20"/>
              </w:rPr>
              <w:t>Velicki L.</w:t>
            </w:r>
            <w:r w:rsidRPr="007E5D00">
              <w:rPr>
                <w:b w:val="0"/>
                <w:sz w:val="20"/>
                <w:szCs w:val="20"/>
              </w:rPr>
              <w:t xml:space="preserve">; HOPE-2 Investigators. </w:t>
            </w:r>
            <w:hyperlink r:id="rId18" w:history="1">
              <w:r w:rsidRPr="007E5D00">
                <w:rPr>
                  <w:rStyle w:val="Hyperlink"/>
                  <w:b w:val="0"/>
                  <w:sz w:val="20"/>
                  <w:szCs w:val="20"/>
                </w:rPr>
                <w:t>Post-COVID-19 Symptoms and Heart Disease: Incidence, Prognostic Factors, Outcomes and Vaccination: Results from a Multi-Center International Prospective Registry (HOPE 2).</w:t>
              </w:r>
            </w:hyperlink>
            <w:r w:rsidRPr="007E5D00">
              <w:rPr>
                <w:b w:val="0"/>
                <w:sz w:val="20"/>
                <w:szCs w:val="20"/>
              </w:rPr>
              <w:t xml:space="preserve"> J Clin Med. 2023 Jan 16;12(2):706.</w:t>
            </w:r>
          </w:p>
        </w:tc>
        <w:tc>
          <w:tcPr>
            <w:tcW w:w="492" w:type="pct"/>
            <w:gridSpan w:val="2"/>
            <w:vAlign w:val="center"/>
          </w:tcPr>
          <w:p w14:paraId="7D1934CD" w14:textId="77777777" w:rsidR="00B64BF9" w:rsidRPr="006454E2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806D1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09" w:type="pct"/>
            <w:gridSpan w:val="2"/>
            <w:vAlign w:val="center"/>
          </w:tcPr>
          <w:p w14:paraId="4B0B86A5" w14:textId="77777777" w:rsidR="00B64BF9" w:rsidRDefault="00B64BF9" w:rsidP="00B64BF9">
            <w:pPr>
              <w:jc w:val="center"/>
            </w:pPr>
            <w:r>
              <w:t>22</w:t>
            </w:r>
          </w:p>
        </w:tc>
        <w:tc>
          <w:tcPr>
            <w:tcW w:w="493" w:type="pct"/>
            <w:vAlign w:val="center"/>
          </w:tcPr>
          <w:p w14:paraId="1439509F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</w:tc>
      </w:tr>
      <w:tr w:rsidR="00B64BF9" w:rsidRPr="00D8045D" w14:paraId="2EAFE0F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307C142" w14:textId="37D60EA4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1B8DCCBB" w14:textId="77777777" w:rsidR="00B64BF9" w:rsidRPr="006454E2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Mihajlović B, Redžek A, </w:t>
            </w:r>
            <w:r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, Jaraković M, Banković D, Mihajlović B. </w:t>
            </w:r>
            <w:hyperlink r:id="rId19" w:history="1">
              <w:r w:rsidRPr="006454E2">
                <w:rPr>
                  <w:rStyle w:val="Hyperlink"/>
                  <w:b w:val="0"/>
                  <w:sz w:val="20"/>
                  <w:szCs w:val="20"/>
                </w:rPr>
                <w:t>Changes in risk factors trends in coronary surgery over the past decade - a single center validation</w:t>
              </w:r>
            </w:hyperlink>
            <w:r>
              <w:rPr>
                <w:b w:val="0"/>
                <w:sz w:val="20"/>
                <w:szCs w:val="20"/>
              </w:rPr>
              <w:t xml:space="preserve">. </w:t>
            </w:r>
            <w:r w:rsidRPr="006454E2">
              <w:rPr>
                <w:b w:val="0"/>
                <w:sz w:val="20"/>
                <w:szCs w:val="20"/>
              </w:rPr>
              <w:t>Srp Ark Celok Lek. 2022;150(</w:t>
            </w:r>
            <w:r>
              <w:rPr>
                <w:b w:val="0"/>
                <w:sz w:val="20"/>
                <w:szCs w:val="20"/>
              </w:rPr>
              <w:t xml:space="preserve">9-10):518-24. </w:t>
            </w:r>
          </w:p>
        </w:tc>
        <w:tc>
          <w:tcPr>
            <w:tcW w:w="492" w:type="pct"/>
            <w:gridSpan w:val="2"/>
            <w:vAlign w:val="center"/>
          </w:tcPr>
          <w:p w14:paraId="29F3EDEA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454E2">
              <w:rPr>
                <w:rFonts w:eastAsia="Times New Roman"/>
                <w:lang w:val="en-US" w:eastAsia="en-US"/>
              </w:rPr>
              <w:t>164/168</w:t>
            </w:r>
          </w:p>
        </w:tc>
        <w:tc>
          <w:tcPr>
            <w:tcW w:w="409" w:type="pct"/>
            <w:gridSpan w:val="2"/>
            <w:vAlign w:val="center"/>
          </w:tcPr>
          <w:p w14:paraId="0DFAE488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6D1DE38F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B64BF9" w:rsidRPr="00D8045D" w14:paraId="1095BD34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C55E229" w14:textId="5869E49C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5D1F97C" w14:textId="77777777" w:rsidR="00B64BF9" w:rsidRPr="006454E2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Čanković M, Čanji T, Debeljački D, Komazec N, Petrović M, </w:t>
            </w:r>
            <w:r>
              <w:rPr>
                <w:sz w:val="20"/>
                <w:szCs w:val="20"/>
              </w:rPr>
              <w:t>Velicki L.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0" w:history="1">
              <w:r w:rsidRPr="006454E2">
                <w:rPr>
                  <w:rStyle w:val="Hyperlink"/>
                  <w:b w:val="0"/>
                  <w:sz w:val="20"/>
                  <w:szCs w:val="20"/>
                </w:rPr>
                <w:t>Primary percutaneous coronary intervention in a patient with anomalous origin of the left coronary artery from the opposite sinus of Valsalva and left main coronary artery occlusion</w:t>
              </w:r>
            </w:hyperlink>
            <w:r>
              <w:rPr>
                <w:b w:val="0"/>
                <w:sz w:val="20"/>
                <w:szCs w:val="20"/>
              </w:rPr>
              <w:t xml:space="preserve">. Vojnosanit Pregl. 2022;79(9):932-7. </w:t>
            </w:r>
          </w:p>
        </w:tc>
        <w:tc>
          <w:tcPr>
            <w:tcW w:w="492" w:type="pct"/>
            <w:gridSpan w:val="2"/>
            <w:vAlign w:val="center"/>
          </w:tcPr>
          <w:p w14:paraId="135D0BE7" w14:textId="77777777" w:rsidR="00B64BF9" w:rsidRPr="006454E2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454E2">
              <w:rPr>
                <w:rFonts w:eastAsia="Times New Roman"/>
                <w:lang w:val="en-US" w:eastAsia="en-US"/>
              </w:rPr>
              <w:t>164/168</w:t>
            </w:r>
          </w:p>
        </w:tc>
        <w:tc>
          <w:tcPr>
            <w:tcW w:w="409" w:type="pct"/>
            <w:gridSpan w:val="2"/>
            <w:vAlign w:val="center"/>
          </w:tcPr>
          <w:p w14:paraId="739E4826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1A42D297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B64BF9" w:rsidRPr="00D8045D" w14:paraId="6EA2CE54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B883F44" w14:textId="0DC7B8F8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5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14F00991" w14:textId="77777777" w:rsidR="00B64BF9" w:rsidRPr="006454E2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Golubović M, Dračina N, Preveden A, Zdravković R, Batranović U, </w:t>
            </w:r>
            <w:r>
              <w:rPr>
                <w:sz w:val="20"/>
                <w:szCs w:val="20"/>
              </w:rPr>
              <w:t>Velicki L.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1" w:history="1">
              <w:r w:rsidRPr="006454E2">
                <w:rPr>
                  <w:rStyle w:val="Hyperlink"/>
                  <w:b w:val="0"/>
                  <w:sz w:val="20"/>
                  <w:szCs w:val="20"/>
                </w:rPr>
                <w:t>Acute respiratory distress syndrome following coronary artery bypass grafting successfully treated with venovenous extracorporeal membrane oxygenation</w:t>
              </w:r>
            </w:hyperlink>
            <w:r>
              <w:rPr>
                <w:b w:val="0"/>
                <w:sz w:val="20"/>
                <w:szCs w:val="20"/>
              </w:rPr>
              <w:t>. Srp Ark Celok Lek. 2022;150(7-8):467-71.</w:t>
            </w:r>
          </w:p>
        </w:tc>
        <w:tc>
          <w:tcPr>
            <w:tcW w:w="492" w:type="pct"/>
            <w:gridSpan w:val="2"/>
            <w:vAlign w:val="center"/>
          </w:tcPr>
          <w:p w14:paraId="57ABCECD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454E2">
              <w:rPr>
                <w:rFonts w:eastAsia="Times New Roman"/>
                <w:lang w:val="en-US" w:eastAsia="en-US"/>
              </w:rPr>
              <w:t>164/168</w:t>
            </w:r>
          </w:p>
        </w:tc>
        <w:tc>
          <w:tcPr>
            <w:tcW w:w="409" w:type="pct"/>
            <w:gridSpan w:val="2"/>
            <w:vAlign w:val="center"/>
          </w:tcPr>
          <w:p w14:paraId="7529611E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4F7FA326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B64BF9" w:rsidRPr="00D8045D" w14:paraId="4B0751C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6D2716F" w14:textId="725055B4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6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0256B886" w14:textId="77777777" w:rsidR="00B64BF9" w:rsidRPr="007A5A4B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A5A4B">
              <w:rPr>
                <w:b w:val="0"/>
                <w:sz w:val="20"/>
                <w:szCs w:val="20"/>
              </w:rPr>
              <w:t xml:space="preserve">Millesimo M, Elia E, Marengo G, De Filippo O, Raposeiras-Roubin S, </w:t>
            </w:r>
            <w:r>
              <w:rPr>
                <w:b w:val="0"/>
                <w:sz w:val="20"/>
                <w:szCs w:val="20"/>
              </w:rPr>
              <w:t>et al…</w:t>
            </w:r>
            <w:r>
              <w:rPr>
                <w:sz w:val="20"/>
                <w:szCs w:val="20"/>
              </w:rPr>
              <w:t>Velicki L</w:t>
            </w:r>
            <w:r w:rsidRPr="007A5A4B">
              <w:rPr>
                <w:b w:val="0"/>
                <w:sz w:val="20"/>
                <w:szCs w:val="20"/>
              </w:rPr>
              <w:t xml:space="preserve">. </w:t>
            </w:r>
            <w:hyperlink r:id="rId22" w:history="1">
              <w:r w:rsidRPr="007A5A4B">
                <w:rPr>
                  <w:rStyle w:val="Hyperlink"/>
                  <w:b w:val="0"/>
                  <w:sz w:val="20"/>
                  <w:szCs w:val="20"/>
                </w:rPr>
                <w:t>Antithrombotic Strategy in Secondary Prevention for High-Risk Patients with Previous Acute Coronary Syndrome: Overlap between the PEGASUS Eligibility and the COMPASS Eligibility in a Large Multicenter Registry.</w:t>
              </w:r>
            </w:hyperlink>
            <w:r w:rsidRPr="007A5A4B">
              <w:rPr>
                <w:b w:val="0"/>
                <w:sz w:val="20"/>
                <w:szCs w:val="20"/>
              </w:rPr>
              <w:t xml:space="preserve"> Am J Cardiovasc Drugs. 202</w:t>
            </w:r>
            <w:r>
              <w:rPr>
                <w:b w:val="0"/>
                <w:sz w:val="20"/>
                <w:szCs w:val="20"/>
              </w:rPr>
              <w:t>2</w:t>
            </w:r>
            <w:r w:rsidRPr="007A5A4B">
              <w:rPr>
                <w:b w:val="0"/>
                <w:sz w:val="20"/>
                <w:szCs w:val="20"/>
              </w:rPr>
              <w:t>;23(1):77-87.</w:t>
            </w:r>
          </w:p>
        </w:tc>
        <w:tc>
          <w:tcPr>
            <w:tcW w:w="492" w:type="pct"/>
            <w:gridSpan w:val="2"/>
            <w:vAlign w:val="center"/>
          </w:tcPr>
          <w:p w14:paraId="53F19045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A5A4B">
              <w:rPr>
                <w:rFonts w:eastAsia="Times New Roman"/>
                <w:lang w:val="en-US" w:eastAsia="en-US"/>
              </w:rPr>
              <w:t>72/142</w:t>
            </w:r>
          </w:p>
          <w:p w14:paraId="75388B9F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15513A77" w14:textId="77777777" w:rsidR="00B64BF9" w:rsidRDefault="00B64BF9" w:rsidP="00B64BF9">
            <w:pPr>
              <w:jc w:val="center"/>
            </w:pPr>
            <w:r>
              <w:t>23</w:t>
            </w:r>
          </w:p>
          <w:p w14:paraId="683CA9B1" w14:textId="77777777" w:rsidR="00B64BF9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7A46C98F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  <w:p w14:paraId="08AF6020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</w:tr>
      <w:tr w:rsidR="00B64BF9" w:rsidRPr="00D8045D" w14:paraId="7F2246B1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2D89122" w14:textId="62D48691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7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944C9BF" w14:textId="77777777" w:rsidR="00B64BF9" w:rsidRPr="007A5A4B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A5A4B">
              <w:rPr>
                <w:b w:val="0"/>
                <w:sz w:val="20"/>
                <w:szCs w:val="20"/>
              </w:rPr>
              <w:t xml:space="preserve">Glavaški M, Preveden A, Jakovljević Đ, Filipović N, </w:t>
            </w:r>
            <w:r w:rsidRPr="007A5A4B">
              <w:rPr>
                <w:sz w:val="20"/>
                <w:szCs w:val="20"/>
              </w:rPr>
              <w:t>Velicki L</w:t>
            </w:r>
            <w:r w:rsidRPr="007A5A4B">
              <w:rPr>
                <w:b w:val="0"/>
                <w:sz w:val="20"/>
                <w:szCs w:val="20"/>
              </w:rPr>
              <w:t xml:space="preserve">. </w:t>
            </w:r>
            <w:hyperlink r:id="rId23" w:history="1">
              <w:r w:rsidRPr="007A5A4B">
                <w:rPr>
                  <w:rStyle w:val="Hyperlink"/>
                  <w:b w:val="0"/>
                  <w:sz w:val="20"/>
                  <w:szCs w:val="20"/>
                </w:rPr>
                <w:t>Subtypes and Mechanisms of Hypertrophic Cardiomyopathy Proposed by Machine Learning Algorithms.</w:t>
              </w:r>
            </w:hyperlink>
            <w:r w:rsidRPr="007A5A4B">
              <w:rPr>
                <w:b w:val="0"/>
                <w:sz w:val="20"/>
                <w:szCs w:val="20"/>
              </w:rPr>
              <w:t xml:space="preserve"> Life (Basel). 2022 Oct 9;12(10):1566.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B64BF9" w:rsidRPr="007A5A4B" w14:paraId="7A779062" w14:textId="77777777" w:rsidTr="007A5A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EFCA317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1D098931" w14:textId="77777777" w:rsidR="00B64BF9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A5A4B">
                    <w:rPr>
                      <w:rFonts w:eastAsia="Times New Roman"/>
                      <w:lang w:val="en-US" w:eastAsia="en-US"/>
                    </w:rPr>
                    <w:t>27/93</w:t>
                  </w:r>
                </w:p>
                <w:p w14:paraId="11E0DC7E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14:paraId="57EAEBCC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A64D609" w14:textId="77777777" w:rsidR="00B64BF9" w:rsidRDefault="00B64BF9" w:rsidP="00B64BF9">
            <w:pPr>
              <w:jc w:val="center"/>
            </w:pPr>
            <w:r>
              <w:t>21</w:t>
            </w:r>
          </w:p>
          <w:p w14:paraId="39740ACF" w14:textId="77777777" w:rsidR="00B64BF9" w:rsidRDefault="00B64BF9" w:rsidP="00B64BF9">
            <w:pPr>
              <w:jc w:val="center"/>
            </w:pPr>
            <w:r>
              <w:t>(2020)</w:t>
            </w:r>
          </w:p>
        </w:tc>
        <w:tc>
          <w:tcPr>
            <w:tcW w:w="493" w:type="pct"/>
            <w:vAlign w:val="center"/>
          </w:tcPr>
          <w:p w14:paraId="33CF847C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3.817</w:t>
            </w:r>
          </w:p>
          <w:p w14:paraId="3B1A685B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(2020)</w:t>
            </w:r>
          </w:p>
        </w:tc>
      </w:tr>
      <w:tr w:rsidR="00B64BF9" w:rsidRPr="00D8045D" w14:paraId="6C7FE59A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0FEFA1F" w14:textId="156D515B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8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30CE60FD" w14:textId="77777777" w:rsidR="00B64BF9" w:rsidRPr="007A5A4B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A5A4B">
              <w:rPr>
                <w:b w:val="0"/>
                <w:sz w:val="20"/>
                <w:szCs w:val="20"/>
              </w:rPr>
              <w:t xml:space="preserve">Glavaški M, </w:t>
            </w:r>
            <w:r w:rsidRPr="007A5A4B">
              <w:rPr>
                <w:sz w:val="20"/>
                <w:szCs w:val="20"/>
              </w:rPr>
              <w:t>Velicki L</w:t>
            </w:r>
            <w:r w:rsidRPr="007A5A4B">
              <w:rPr>
                <w:b w:val="0"/>
                <w:sz w:val="20"/>
                <w:szCs w:val="20"/>
              </w:rPr>
              <w:t xml:space="preserve">. </w:t>
            </w:r>
            <w:hyperlink r:id="rId24" w:history="1">
              <w:r w:rsidRPr="007A5A4B">
                <w:rPr>
                  <w:rStyle w:val="Hyperlink"/>
                  <w:b w:val="0"/>
                  <w:sz w:val="20"/>
                  <w:szCs w:val="20"/>
                </w:rPr>
                <w:t>More slices, less truth: effects of different test-set design strategies for magnetic resonance image classification</w:t>
              </w:r>
            </w:hyperlink>
            <w:r w:rsidRPr="007A5A4B">
              <w:rPr>
                <w:b w:val="0"/>
                <w:sz w:val="20"/>
                <w:szCs w:val="20"/>
              </w:rPr>
              <w:t>. Croat Med J. 2022 Aug 31;63(4):370-378.</w:t>
            </w:r>
          </w:p>
        </w:tc>
        <w:tc>
          <w:tcPr>
            <w:tcW w:w="492" w:type="pct"/>
            <w:gridSpan w:val="2"/>
            <w:vAlign w:val="center"/>
          </w:tcPr>
          <w:p w14:paraId="786B88B2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A5A4B">
              <w:rPr>
                <w:rFonts w:eastAsia="Times New Roman"/>
                <w:lang w:val="en-US" w:eastAsia="en-US"/>
              </w:rPr>
              <w:t>102/172</w:t>
            </w:r>
          </w:p>
          <w:p w14:paraId="50681D1C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(2021)</w:t>
            </w:r>
          </w:p>
        </w:tc>
        <w:tc>
          <w:tcPr>
            <w:tcW w:w="409" w:type="pct"/>
            <w:gridSpan w:val="2"/>
            <w:vAlign w:val="center"/>
          </w:tcPr>
          <w:p w14:paraId="45318C2B" w14:textId="77777777" w:rsidR="00B64BF9" w:rsidRDefault="00B64BF9" w:rsidP="00B64BF9">
            <w:pPr>
              <w:jc w:val="center"/>
            </w:pPr>
            <w:r>
              <w:t>22</w:t>
            </w:r>
          </w:p>
          <w:p w14:paraId="18DB3506" w14:textId="77777777" w:rsidR="00B64BF9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93" w:type="pct"/>
            <w:vAlign w:val="center"/>
          </w:tcPr>
          <w:p w14:paraId="2C8DF422" w14:textId="77777777" w:rsidR="00B64BF9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A5A4B">
              <w:rPr>
                <w:rFonts w:eastAsia="Times New Roman"/>
                <w:lang w:val="en-US" w:eastAsia="en-US"/>
              </w:rPr>
              <w:t>2.415</w:t>
            </w:r>
          </w:p>
          <w:p w14:paraId="5CDB84BB" w14:textId="77777777" w:rsidR="00B64BF9" w:rsidRPr="007A5A4B" w:rsidRDefault="00B64BF9" w:rsidP="00B64B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(2021)</w:t>
            </w:r>
          </w:p>
        </w:tc>
      </w:tr>
      <w:tr w:rsidR="00B64BF9" w:rsidRPr="00D8045D" w14:paraId="0F07B6D8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19845D3" w14:textId="5617ADE9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9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49BB7350" w14:textId="77777777" w:rsidR="00B64BF9" w:rsidRPr="00A466FB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A5A4B">
              <w:rPr>
                <w:b w:val="0"/>
                <w:sz w:val="20"/>
                <w:szCs w:val="20"/>
              </w:rPr>
              <w:t xml:space="preserve">Fatrin S, Okwose NC, Bailey K, </w:t>
            </w:r>
            <w:r w:rsidRPr="007A5A4B">
              <w:rPr>
                <w:sz w:val="20"/>
                <w:szCs w:val="20"/>
              </w:rPr>
              <w:t>Velicki L</w:t>
            </w:r>
            <w:r w:rsidRPr="007A5A4B">
              <w:rPr>
                <w:b w:val="0"/>
                <w:sz w:val="20"/>
                <w:szCs w:val="20"/>
              </w:rPr>
              <w:t>, Popovi</w:t>
            </w:r>
            <w:r>
              <w:rPr>
                <w:b w:val="0"/>
                <w:sz w:val="20"/>
                <w:szCs w:val="20"/>
              </w:rPr>
              <w:t>ć</w:t>
            </w:r>
            <w:r w:rsidRPr="007A5A4B">
              <w:rPr>
                <w:b w:val="0"/>
                <w:sz w:val="20"/>
                <w:szCs w:val="20"/>
              </w:rPr>
              <w:t xml:space="preserve"> D, Risti</w:t>
            </w:r>
            <w:r>
              <w:rPr>
                <w:b w:val="0"/>
                <w:sz w:val="20"/>
                <w:szCs w:val="20"/>
              </w:rPr>
              <w:t>ć</w:t>
            </w:r>
            <w:r w:rsidRPr="007A5A4B">
              <w:rPr>
                <w:b w:val="0"/>
                <w:sz w:val="20"/>
                <w:szCs w:val="20"/>
              </w:rPr>
              <w:t xml:space="preserve"> A, </w:t>
            </w:r>
            <w:r>
              <w:rPr>
                <w:b w:val="0"/>
                <w:sz w:val="20"/>
                <w:szCs w:val="20"/>
              </w:rPr>
              <w:t>et al</w:t>
            </w:r>
            <w:r w:rsidRPr="007A5A4B">
              <w:rPr>
                <w:b w:val="0"/>
                <w:sz w:val="20"/>
                <w:szCs w:val="20"/>
              </w:rPr>
              <w:t xml:space="preserve">. </w:t>
            </w:r>
            <w:hyperlink r:id="rId25" w:history="1">
              <w:r w:rsidRPr="007A5A4B">
                <w:rPr>
                  <w:rStyle w:val="Hyperlink"/>
                  <w:b w:val="0"/>
                  <w:sz w:val="20"/>
                  <w:szCs w:val="20"/>
                </w:rPr>
                <w:t>Haemodynamic determinants of quality of life in chronic heart failure.</w:t>
              </w:r>
            </w:hyperlink>
            <w:r w:rsidRPr="007A5A4B">
              <w:rPr>
                <w:b w:val="0"/>
                <w:sz w:val="20"/>
                <w:szCs w:val="20"/>
              </w:rPr>
              <w:t xml:space="preserve"> BMC Cardiovasc Disord. 2022 Sep 16;22(1):412.</w:t>
            </w:r>
          </w:p>
        </w:tc>
        <w:tc>
          <w:tcPr>
            <w:tcW w:w="492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B64BF9" w:rsidRPr="007A5A4B" w14:paraId="36966B42" w14:textId="77777777" w:rsidTr="007A5A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7439EBA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382D22A2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A5A4B">
                    <w:rPr>
                      <w:rFonts w:eastAsia="Times New Roman"/>
                      <w:lang w:val="en-US" w:eastAsia="en-US"/>
                    </w:rPr>
                    <w:t>101/142</w:t>
                  </w:r>
                </w:p>
              </w:tc>
            </w:tr>
          </w:tbl>
          <w:p w14:paraId="439D849D" w14:textId="77777777" w:rsidR="00B64BF9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0CF55960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5"/>
            </w:tblGrid>
            <w:tr w:rsidR="00B64BF9" w:rsidRPr="007A5A4B" w14:paraId="7BC9B023" w14:textId="77777777" w:rsidTr="007A5A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B725F4A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2DBE6231" w14:textId="77777777" w:rsidR="00B64BF9" w:rsidRPr="007A5A4B" w:rsidRDefault="00B64BF9" w:rsidP="00B64BF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A5A4B">
                    <w:rPr>
                      <w:rFonts w:eastAsia="Times New Roman"/>
                      <w:lang w:val="en-US" w:eastAsia="en-US"/>
                    </w:rPr>
                    <w:t>2.1</w:t>
                  </w:r>
                </w:p>
              </w:tc>
            </w:tr>
          </w:tbl>
          <w:p w14:paraId="037733B7" w14:textId="77777777" w:rsidR="00B64BF9" w:rsidRDefault="00B64BF9" w:rsidP="00B64BF9">
            <w:pPr>
              <w:jc w:val="center"/>
            </w:pPr>
          </w:p>
        </w:tc>
      </w:tr>
      <w:tr w:rsidR="00B64BF9" w:rsidRPr="00D8045D" w14:paraId="39E97E7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5FE3B42" w14:textId="678D5EDB" w:rsidR="00B64BF9" w:rsidRPr="003E7328" w:rsidRDefault="00B64BF9" w:rsidP="00B64BF9">
            <w:pPr>
              <w:jc w:val="center"/>
            </w:pPr>
            <w:r>
              <w:t>20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534350E" w14:textId="77777777" w:rsidR="00B64BF9" w:rsidRPr="00A466FB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A466FB">
              <w:rPr>
                <w:b w:val="0"/>
                <w:sz w:val="20"/>
                <w:szCs w:val="20"/>
              </w:rPr>
              <w:t>Stojković</w:t>
            </w:r>
            <w:r>
              <w:rPr>
                <w:b w:val="0"/>
                <w:sz w:val="20"/>
                <w:szCs w:val="20"/>
              </w:rPr>
              <w:t xml:space="preserve"> T, </w:t>
            </w:r>
            <w:r w:rsidRPr="00A466FB">
              <w:rPr>
                <w:b w:val="0"/>
                <w:sz w:val="20"/>
                <w:szCs w:val="20"/>
              </w:rPr>
              <w:t>Stojković</w:t>
            </w:r>
            <w:r>
              <w:rPr>
                <w:b w:val="0"/>
                <w:sz w:val="20"/>
                <w:szCs w:val="20"/>
              </w:rPr>
              <w:t xml:space="preserve"> E,</w:t>
            </w:r>
            <w:r w:rsidRPr="00A466FB">
              <w:rPr>
                <w:b w:val="0"/>
                <w:sz w:val="20"/>
                <w:szCs w:val="20"/>
              </w:rPr>
              <w:t xml:space="preserve"> Sakač</w:t>
            </w:r>
            <w:r>
              <w:rPr>
                <w:b w:val="0"/>
                <w:sz w:val="20"/>
                <w:szCs w:val="20"/>
              </w:rPr>
              <w:t xml:space="preserve"> D, </w:t>
            </w:r>
            <w:r w:rsidRPr="00A466FB">
              <w:rPr>
                <w:b w:val="0"/>
                <w:sz w:val="20"/>
                <w:szCs w:val="20"/>
              </w:rPr>
              <w:t>Redžek</w:t>
            </w:r>
            <w:r>
              <w:rPr>
                <w:b w:val="0"/>
                <w:sz w:val="20"/>
                <w:szCs w:val="20"/>
              </w:rPr>
              <w:t xml:space="preserve"> A, </w:t>
            </w:r>
            <w:r w:rsidRPr="00A466FB">
              <w:rPr>
                <w:b w:val="0"/>
                <w:sz w:val="20"/>
                <w:szCs w:val="20"/>
              </w:rPr>
              <w:t>Stojšić-Milosavljević</w:t>
            </w:r>
            <w:r>
              <w:rPr>
                <w:b w:val="0"/>
                <w:sz w:val="20"/>
                <w:szCs w:val="20"/>
              </w:rPr>
              <w:t xml:space="preserve"> A, </w:t>
            </w:r>
            <w:r w:rsidRPr="00A466FB"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, et al. </w:t>
            </w:r>
            <w:hyperlink r:id="rId26" w:history="1">
              <w:r w:rsidRPr="00EA569F">
                <w:rPr>
                  <w:rStyle w:val="Hyperlink"/>
                  <w:b w:val="0"/>
                  <w:sz w:val="20"/>
                  <w:szCs w:val="20"/>
                </w:rPr>
                <w:t xml:space="preserve">Role of HEART score in prediction of coronary artery disease and major adverse cardiac </w:t>
              </w:r>
              <w:r w:rsidRPr="00EA569F">
                <w:rPr>
                  <w:rStyle w:val="Hyperlink"/>
                  <w:b w:val="0"/>
                  <w:sz w:val="20"/>
                  <w:szCs w:val="20"/>
                </w:rPr>
                <w:lastRenderedPageBreak/>
                <w:t>events in patients presenting with chest pain</w:t>
              </w:r>
            </w:hyperlink>
            <w:r w:rsidRPr="00A466FB">
              <w:rPr>
                <w:b w:val="0"/>
                <w:sz w:val="20"/>
                <w:szCs w:val="20"/>
              </w:rPr>
              <w:t>. Srp Arh Celok Lek. 2022</w:t>
            </w:r>
            <w:r>
              <w:rPr>
                <w:b w:val="0"/>
                <w:sz w:val="20"/>
                <w:szCs w:val="20"/>
              </w:rPr>
              <w:t>;</w:t>
            </w:r>
            <w:r w:rsidRPr="00A466FB">
              <w:rPr>
                <w:b w:val="0"/>
                <w:sz w:val="20"/>
                <w:szCs w:val="20"/>
              </w:rPr>
              <w:t xml:space="preserve"> Mar-</w:t>
            </w:r>
            <w:r>
              <w:rPr>
                <w:b w:val="0"/>
                <w:sz w:val="20"/>
                <w:szCs w:val="20"/>
              </w:rPr>
              <w:t>A</w:t>
            </w:r>
            <w:r w:rsidRPr="00A466FB">
              <w:rPr>
                <w:b w:val="0"/>
                <w:sz w:val="20"/>
                <w:szCs w:val="20"/>
              </w:rPr>
              <w:t>pr;150(3-4):149-55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2" w:type="pct"/>
            <w:gridSpan w:val="2"/>
            <w:vAlign w:val="center"/>
          </w:tcPr>
          <w:p w14:paraId="6EE4515F" w14:textId="77777777" w:rsidR="00B64BF9" w:rsidRDefault="00B64BF9" w:rsidP="00B64BF9">
            <w:pPr>
              <w:jc w:val="center"/>
            </w:pPr>
            <w:r>
              <w:lastRenderedPageBreak/>
              <w:t>164/168</w:t>
            </w:r>
          </w:p>
          <w:p w14:paraId="481289F2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0A42DA11" w14:textId="77777777" w:rsidR="00B64BF9" w:rsidRDefault="00B64BF9" w:rsidP="00B64BF9">
            <w:pPr>
              <w:jc w:val="center"/>
            </w:pPr>
            <w:r>
              <w:t>23</w:t>
            </w:r>
          </w:p>
          <w:p w14:paraId="41B466CA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40D81818" w14:textId="77777777" w:rsidR="00B64BF9" w:rsidRDefault="00B64BF9" w:rsidP="00B64BF9">
            <w:pPr>
              <w:jc w:val="center"/>
            </w:pPr>
            <w:r>
              <w:t>0.2</w:t>
            </w:r>
          </w:p>
          <w:p w14:paraId="3D2119D9" w14:textId="77777777" w:rsidR="00B64BF9" w:rsidRDefault="00B64BF9" w:rsidP="00B64BF9">
            <w:pPr>
              <w:jc w:val="center"/>
            </w:pPr>
          </w:p>
        </w:tc>
      </w:tr>
      <w:tr w:rsidR="00B64BF9" w:rsidRPr="00D8045D" w14:paraId="37AFFE6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DA54C88" w14:textId="11BED91E" w:rsidR="00B64BF9" w:rsidRPr="003E7328" w:rsidRDefault="00B64BF9" w:rsidP="00B64BF9">
            <w:pPr>
              <w:jc w:val="center"/>
            </w:pPr>
            <w:r w:rsidRPr="003E7328">
              <w:lastRenderedPageBreak/>
              <w:t>2</w:t>
            </w:r>
            <w:r>
              <w:t>1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975EB2D" w14:textId="77777777" w:rsidR="00B64BF9" w:rsidRPr="00C468EE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C468EE">
              <w:rPr>
                <w:b w:val="0"/>
                <w:sz w:val="20"/>
                <w:szCs w:val="20"/>
              </w:rPr>
              <w:t>Banovic M</w:t>
            </w:r>
            <w:r>
              <w:rPr>
                <w:b w:val="0"/>
                <w:sz w:val="20"/>
                <w:szCs w:val="20"/>
              </w:rPr>
              <w:t>,</w:t>
            </w:r>
            <w:r w:rsidRPr="00C468EE">
              <w:rPr>
                <w:b w:val="0"/>
                <w:sz w:val="20"/>
                <w:szCs w:val="20"/>
              </w:rPr>
              <w:t> Putnik S</w:t>
            </w:r>
            <w:r>
              <w:rPr>
                <w:b w:val="0"/>
                <w:sz w:val="20"/>
                <w:szCs w:val="20"/>
              </w:rPr>
              <w:t>, et al...</w:t>
            </w:r>
            <w:r w:rsidRPr="00C468EE"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>, ...</w:t>
            </w:r>
            <w:r w:rsidRPr="00C468EE">
              <w:rPr>
                <w:b w:val="0"/>
                <w:sz w:val="20"/>
                <w:szCs w:val="20"/>
              </w:rPr>
              <w:t xml:space="preserve"> (broj koautora 17)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C468EE">
              <w:rPr>
                <w:b w:val="0"/>
                <w:sz w:val="20"/>
                <w:szCs w:val="20"/>
              </w:rPr>
              <w:t>AVATAR Trial Investigators</w:t>
            </w:r>
            <w:r>
              <w:rPr>
                <w:b w:val="0"/>
                <w:sz w:val="20"/>
                <w:szCs w:val="20"/>
              </w:rPr>
              <w:t xml:space="preserve">. </w:t>
            </w:r>
            <w:hyperlink r:id="rId27" w:history="1">
              <w:r w:rsidRPr="005575CB">
                <w:rPr>
                  <w:rStyle w:val="Hyperlink"/>
                  <w:b w:val="0"/>
                  <w:sz w:val="20"/>
                  <w:szCs w:val="20"/>
                </w:rPr>
                <w:t>Aortic Valve Replacement Versus Conservative Treatment in Asymptomatic Severe Aortic Stenosis: The AVATAR Trial</w:t>
              </w:r>
            </w:hyperlink>
            <w:r>
              <w:rPr>
                <w:b w:val="0"/>
                <w:sz w:val="20"/>
                <w:szCs w:val="20"/>
              </w:rPr>
              <w:t xml:space="preserve">. </w:t>
            </w:r>
            <w:r w:rsidRPr="00C468EE">
              <w:rPr>
                <w:b w:val="0"/>
                <w:sz w:val="20"/>
                <w:szCs w:val="20"/>
              </w:rPr>
              <w:t>Circulation. 2022 Mar;145(9):648-58. doi: 10.1161/CIRCULATIONAHA.121.057639.</w:t>
            </w:r>
          </w:p>
        </w:tc>
        <w:tc>
          <w:tcPr>
            <w:tcW w:w="492" w:type="pct"/>
            <w:gridSpan w:val="2"/>
            <w:vAlign w:val="center"/>
          </w:tcPr>
          <w:p w14:paraId="1BCBFB29" w14:textId="77777777" w:rsidR="00B64BF9" w:rsidRDefault="00B64BF9" w:rsidP="00B64BF9">
            <w:pPr>
              <w:jc w:val="center"/>
            </w:pPr>
            <w:r>
              <w:t>2/143</w:t>
            </w:r>
          </w:p>
          <w:p w14:paraId="7B6F1740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09" w:type="pct"/>
            <w:gridSpan w:val="2"/>
            <w:vAlign w:val="center"/>
          </w:tcPr>
          <w:p w14:paraId="6FDBFDC4" w14:textId="77777777" w:rsidR="00B64BF9" w:rsidRDefault="00B64BF9" w:rsidP="00B64BF9">
            <w:pPr>
              <w:jc w:val="center"/>
            </w:pPr>
            <w:r>
              <w:t>21a</w:t>
            </w:r>
          </w:p>
          <w:p w14:paraId="65A32A6F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93" w:type="pct"/>
            <w:vAlign w:val="center"/>
          </w:tcPr>
          <w:p w14:paraId="3F9FC342" w14:textId="77777777" w:rsidR="00B64BF9" w:rsidRDefault="00B64BF9" w:rsidP="00B64BF9">
            <w:pPr>
              <w:jc w:val="center"/>
            </w:pPr>
            <w:r>
              <w:t>39.918</w:t>
            </w:r>
          </w:p>
          <w:p w14:paraId="6F129A22" w14:textId="77777777" w:rsidR="00B64BF9" w:rsidRDefault="00B64BF9" w:rsidP="00B64BF9">
            <w:pPr>
              <w:jc w:val="center"/>
            </w:pPr>
            <w:r>
              <w:t>(2021)</w:t>
            </w:r>
          </w:p>
        </w:tc>
      </w:tr>
      <w:tr w:rsidR="00B64BF9" w:rsidRPr="00D8045D" w14:paraId="49374CC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5C01048" w14:textId="38F66981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2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43D89F3" w14:textId="77777777" w:rsidR="00B64BF9" w:rsidRPr="00FC3B52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FC3B52">
              <w:rPr>
                <w:b w:val="0"/>
                <w:sz w:val="20"/>
                <w:szCs w:val="20"/>
              </w:rPr>
              <w:t>Piculin M</w:t>
            </w:r>
            <w:r>
              <w:rPr>
                <w:b w:val="0"/>
                <w:sz w:val="20"/>
                <w:szCs w:val="20"/>
              </w:rPr>
              <w:t xml:space="preserve">, ... </w:t>
            </w:r>
            <w:r w:rsidRPr="00FC3B52">
              <w:rPr>
                <w:b w:val="0"/>
                <w:sz w:val="20"/>
                <w:szCs w:val="20"/>
              </w:rPr>
              <w:t>Popovic DR</w:t>
            </w:r>
            <w:r>
              <w:rPr>
                <w:b w:val="0"/>
                <w:sz w:val="20"/>
                <w:szCs w:val="20"/>
              </w:rPr>
              <w:t>, ...</w:t>
            </w:r>
            <w:r w:rsidRPr="00FC3B52">
              <w:rPr>
                <w:b w:val="0"/>
                <w:sz w:val="20"/>
                <w:szCs w:val="20"/>
              </w:rPr>
              <w:t xml:space="preserve"> </w:t>
            </w:r>
            <w:r w:rsidRPr="00FC3B52">
              <w:rPr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>,</w:t>
            </w:r>
            <w:r w:rsidRPr="00FC3B52">
              <w:rPr>
                <w:b w:val="0"/>
                <w:sz w:val="20"/>
                <w:szCs w:val="20"/>
              </w:rPr>
              <w:t> </w:t>
            </w:r>
            <w:r>
              <w:rPr>
                <w:b w:val="0"/>
                <w:sz w:val="20"/>
                <w:szCs w:val="20"/>
              </w:rPr>
              <w:t>...</w:t>
            </w:r>
            <w:r w:rsidRPr="00FC3B52">
              <w:rPr>
                <w:b w:val="0"/>
                <w:sz w:val="20"/>
                <w:szCs w:val="20"/>
              </w:rPr>
              <w:t xml:space="preserve"> Filipovic Nenad (broj koautora 19)</w:t>
            </w:r>
            <w:r>
              <w:rPr>
                <w:b w:val="0"/>
                <w:sz w:val="20"/>
                <w:szCs w:val="20"/>
              </w:rPr>
              <w:t xml:space="preserve">. </w:t>
            </w:r>
            <w:hyperlink r:id="rId28" w:history="1">
              <w:r w:rsidRPr="00FC3B52">
                <w:rPr>
                  <w:rStyle w:val="Hyperlink"/>
                  <w:b w:val="0"/>
                  <w:sz w:val="20"/>
                  <w:szCs w:val="20"/>
                </w:rPr>
                <w:t>Disease Progression of Hypertrophic Cardiomyopathy: Modeling Using Machine Learning</w:t>
              </w:r>
            </w:hyperlink>
            <w:r w:rsidRPr="00FC3B52">
              <w:rPr>
                <w:b w:val="0"/>
                <w:sz w:val="20"/>
                <w:szCs w:val="20"/>
              </w:rPr>
              <w:t xml:space="preserve">. JMIR Med Inform. 2022 Feb 2;10(2):e30483. </w:t>
            </w:r>
          </w:p>
        </w:tc>
        <w:tc>
          <w:tcPr>
            <w:tcW w:w="492" w:type="pct"/>
            <w:gridSpan w:val="2"/>
            <w:vAlign w:val="center"/>
          </w:tcPr>
          <w:p w14:paraId="27E2096B" w14:textId="77777777" w:rsidR="00B64BF9" w:rsidRDefault="00B64BF9" w:rsidP="00B64BF9">
            <w:pPr>
              <w:jc w:val="center"/>
            </w:pPr>
            <w:r>
              <w:t>18/31</w:t>
            </w:r>
          </w:p>
          <w:p w14:paraId="2590150E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09" w:type="pct"/>
            <w:gridSpan w:val="2"/>
            <w:vAlign w:val="center"/>
          </w:tcPr>
          <w:p w14:paraId="238482FE" w14:textId="77777777" w:rsidR="00B64BF9" w:rsidRDefault="00B64BF9" w:rsidP="00B64BF9">
            <w:pPr>
              <w:jc w:val="center"/>
            </w:pPr>
            <w:r>
              <w:t>22</w:t>
            </w:r>
          </w:p>
          <w:p w14:paraId="2DA21A00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93" w:type="pct"/>
            <w:vAlign w:val="center"/>
          </w:tcPr>
          <w:p w14:paraId="3ECC2FAB" w14:textId="77777777" w:rsidR="00B64BF9" w:rsidRDefault="00B64BF9" w:rsidP="00B64BF9">
            <w:pPr>
              <w:jc w:val="center"/>
            </w:pPr>
            <w:r>
              <w:t>3.228</w:t>
            </w:r>
          </w:p>
          <w:p w14:paraId="3A4D7968" w14:textId="77777777" w:rsidR="00B64BF9" w:rsidRDefault="00B64BF9" w:rsidP="00B64BF9">
            <w:pPr>
              <w:jc w:val="center"/>
            </w:pPr>
            <w:r>
              <w:t>(2021)</w:t>
            </w:r>
          </w:p>
        </w:tc>
      </w:tr>
      <w:tr w:rsidR="00B64BF9" w:rsidRPr="00D8045D" w14:paraId="77FB9EF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989E28F" w14:textId="3A2840DD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9C5677B" w14:textId="77777777" w:rsidR="00B64BF9" w:rsidRPr="00FE6671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FE6671">
              <w:rPr>
                <w:b w:val="0"/>
                <w:sz w:val="20"/>
                <w:szCs w:val="20"/>
              </w:rPr>
              <w:t>Preveden A, Golubovi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M, Bjelobrk M, Miljkovi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T, Ili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A, Stoj</w:t>
            </w:r>
            <w:r>
              <w:rPr>
                <w:b w:val="0"/>
                <w:sz w:val="20"/>
                <w:szCs w:val="20"/>
              </w:rPr>
              <w:t>š</w:t>
            </w:r>
            <w:r w:rsidRPr="00FE6671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S, </w:t>
            </w:r>
            <w:r>
              <w:rPr>
                <w:b w:val="0"/>
                <w:sz w:val="20"/>
                <w:szCs w:val="20"/>
              </w:rPr>
              <w:t>et al…</w:t>
            </w:r>
            <w:r w:rsidRPr="00FE6671">
              <w:rPr>
                <w:sz w:val="20"/>
                <w:szCs w:val="20"/>
              </w:rPr>
              <w:t>Velicki L.</w:t>
            </w:r>
            <w:r w:rsidRPr="00FE6671">
              <w:rPr>
                <w:b w:val="0"/>
                <w:sz w:val="20"/>
                <w:szCs w:val="20"/>
              </w:rPr>
              <w:t xml:space="preserve"> </w:t>
            </w:r>
            <w:hyperlink r:id="rId29" w:history="1">
              <w:r w:rsidRPr="00FE6671">
                <w:rPr>
                  <w:rStyle w:val="Hyperlink"/>
                  <w:b w:val="0"/>
                  <w:sz w:val="20"/>
                  <w:szCs w:val="20"/>
                </w:rPr>
                <w:t>Gender Related Differences in the Clinical Presentation of Hypertrophic Cardiomyopathy-An Analysis from the SILICOFCM Database</w:t>
              </w:r>
            </w:hyperlink>
            <w:r w:rsidRPr="00FE6671">
              <w:rPr>
                <w:b w:val="0"/>
                <w:sz w:val="20"/>
                <w:szCs w:val="20"/>
              </w:rPr>
              <w:t>. Medicina</w:t>
            </w:r>
            <w:r>
              <w:t xml:space="preserve"> </w:t>
            </w:r>
            <w:r w:rsidRPr="00FE6671">
              <w:rPr>
                <w:b w:val="0"/>
                <w:sz w:val="20"/>
                <w:szCs w:val="20"/>
              </w:rPr>
              <w:t xml:space="preserve">Lithuania (Kaunas). 2022 Feb 18;58(2):314. </w:t>
            </w:r>
          </w:p>
        </w:tc>
        <w:tc>
          <w:tcPr>
            <w:tcW w:w="492" w:type="pct"/>
            <w:gridSpan w:val="2"/>
            <w:vAlign w:val="center"/>
          </w:tcPr>
          <w:p w14:paraId="551FCA3A" w14:textId="77777777" w:rsidR="00B64BF9" w:rsidRDefault="00B64BF9" w:rsidP="00B64BF9">
            <w:pPr>
              <w:jc w:val="center"/>
            </w:pPr>
            <w:r>
              <w:t>87/172</w:t>
            </w:r>
          </w:p>
          <w:p w14:paraId="3F9DE62B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09" w:type="pct"/>
            <w:gridSpan w:val="2"/>
            <w:vAlign w:val="center"/>
          </w:tcPr>
          <w:p w14:paraId="2793C3F5" w14:textId="77777777" w:rsidR="00B64BF9" w:rsidRDefault="00B64BF9" w:rsidP="00B64BF9">
            <w:pPr>
              <w:jc w:val="center"/>
            </w:pPr>
            <w:r>
              <w:t>22</w:t>
            </w:r>
          </w:p>
          <w:p w14:paraId="6AD15AA7" w14:textId="77777777" w:rsidR="00B64BF9" w:rsidRPr="003E7328" w:rsidRDefault="00B64BF9" w:rsidP="00B64BF9">
            <w:pPr>
              <w:jc w:val="center"/>
            </w:pPr>
            <w:r>
              <w:t>(2021)</w:t>
            </w:r>
          </w:p>
        </w:tc>
        <w:tc>
          <w:tcPr>
            <w:tcW w:w="493" w:type="pct"/>
            <w:vAlign w:val="center"/>
          </w:tcPr>
          <w:p w14:paraId="7C8FB1E6" w14:textId="77777777" w:rsidR="00B64BF9" w:rsidRDefault="00B64BF9" w:rsidP="00B64BF9">
            <w:pPr>
              <w:jc w:val="center"/>
            </w:pPr>
            <w:r>
              <w:t>2.948</w:t>
            </w:r>
          </w:p>
          <w:p w14:paraId="2FA8C0DD" w14:textId="77777777" w:rsidR="00B64BF9" w:rsidRDefault="00B64BF9" w:rsidP="00B64BF9">
            <w:pPr>
              <w:jc w:val="center"/>
            </w:pPr>
            <w:r>
              <w:t>(2021)</w:t>
            </w:r>
          </w:p>
        </w:tc>
      </w:tr>
      <w:tr w:rsidR="00B64BF9" w:rsidRPr="00D8045D" w14:paraId="13A77E37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B0DA0C1" w14:textId="6CB72915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4DCC2E3" w14:textId="77777777" w:rsidR="00B64BF9" w:rsidRPr="00FE6671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FE6671">
              <w:rPr>
                <w:b w:val="0"/>
                <w:sz w:val="20"/>
                <w:szCs w:val="20"/>
              </w:rPr>
              <w:t>Ili</w:t>
            </w:r>
            <w:r>
              <w:rPr>
                <w:b w:val="0"/>
                <w:sz w:val="20"/>
                <w:szCs w:val="20"/>
              </w:rPr>
              <w:t>ć Đ</w:t>
            </w:r>
            <w:r w:rsidRPr="00FE6671">
              <w:rPr>
                <w:b w:val="0"/>
                <w:sz w:val="20"/>
                <w:szCs w:val="20"/>
              </w:rPr>
              <w:t>, Ili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A, Stoj</w:t>
            </w:r>
            <w:r>
              <w:rPr>
                <w:b w:val="0"/>
                <w:sz w:val="20"/>
                <w:szCs w:val="20"/>
              </w:rPr>
              <w:t>š</w:t>
            </w:r>
            <w:r w:rsidRPr="00FE6671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S, Stoj</w:t>
            </w:r>
            <w:r>
              <w:rPr>
                <w:b w:val="0"/>
                <w:sz w:val="20"/>
                <w:szCs w:val="20"/>
              </w:rPr>
              <w:t>š</w:t>
            </w:r>
            <w:r w:rsidRPr="00FE6671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>-Milosavljevi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A, Papovi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J, </w:t>
            </w:r>
            <w:r>
              <w:rPr>
                <w:b w:val="0"/>
                <w:sz w:val="20"/>
                <w:szCs w:val="20"/>
              </w:rPr>
              <w:t>et al…</w:t>
            </w:r>
            <w:r w:rsidRPr="00FE6671">
              <w:rPr>
                <w:sz w:val="20"/>
                <w:szCs w:val="20"/>
              </w:rPr>
              <w:t>Velicki L.</w:t>
            </w:r>
            <w:r w:rsidRPr="00FE6671">
              <w:rPr>
                <w:b w:val="0"/>
                <w:sz w:val="20"/>
                <w:szCs w:val="20"/>
              </w:rPr>
              <w:t xml:space="preserve"> </w:t>
            </w:r>
            <w:hyperlink r:id="rId30" w:history="1">
              <w:r w:rsidRPr="00E84609">
                <w:rPr>
                  <w:rStyle w:val="Hyperlink"/>
                  <w:b w:val="0"/>
                  <w:sz w:val="20"/>
                  <w:szCs w:val="20"/>
                </w:rPr>
                <w:t>Effect of dipping patern of gestational hypertension on the maternal symptoms and physical findings, birth wegiht and preterm delivery</w:t>
              </w:r>
            </w:hyperlink>
            <w:r w:rsidRPr="00FE6671">
              <w:rPr>
                <w:b w:val="0"/>
                <w:sz w:val="20"/>
                <w:szCs w:val="20"/>
              </w:rPr>
              <w:t>. Acta Clin Croat. 2021</w:t>
            </w:r>
            <w:r>
              <w:rPr>
                <w:b w:val="0"/>
                <w:sz w:val="20"/>
                <w:szCs w:val="20"/>
              </w:rPr>
              <w:t>;</w:t>
            </w:r>
            <w:r w:rsidRPr="00FE6671">
              <w:rPr>
                <w:b w:val="0"/>
                <w:sz w:val="20"/>
                <w:szCs w:val="20"/>
              </w:rPr>
              <w:t>60</w:t>
            </w:r>
            <w:r>
              <w:rPr>
                <w:b w:val="0"/>
                <w:sz w:val="20"/>
                <w:szCs w:val="20"/>
              </w:rPr>
              <w:t>(</w:t>
            </w:r>
            <w:r w:rsidRPr="00FE6671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):</w:t>
            </w:r>
            <w:r w:rsidRPr="00FE6671">
              <w:rPr>
                <w:b w:val="0"/>
                <w:sz w:val="20"/>
                <w:szCs w:val="20"/>
              </w:rPr>
              <w:t>641-50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2" w:type="pct"/>
            <w:gridSpan w:val="2"/>
            <w:vAlign w:val="center"/>
          </w:tcPr>
          <w:p w14:paraId="442D4FD6" w14:textId="77777777" w:rsidR="00B64BF9" w:rsidRPr="003E7328" w:rsidRDefault="00B64BF9" w:rsidP="00B64BF9">
            <w:pPr>
              <w:jc w:val="center"/>
            </w:pPr>
            <w:r>
              <w:t>150/172</w:t>
            </w:r>
          </w:p>
        </w:tc>
        <w:tc>
          <w:tcPr>
            <w:tcW w:w="409" w:type="pct"/>
            <w:gridSpan w:val="2"/>
            <w:vAlign w:val="center"/>
          </w:tcPr>
          <w:p w14:paraId="195CA8A0" w14:textId="77777777" w:rsidR="00B64BF9" w:rsidRPr="003E7328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12BDBA79" w14:textId="77777777" w:rsidR="00B64BF9" w:rsidRDefault="00B64BF9" w:rsidP="00B64BF9">
            <w:pPr>
              <w:jc w:val="center"/>
            </w:pPr>
            <w:r>
              <w:t>0.932</w:t>
            </w:r>
          </w:p>
        </w:tc>
      </w:tr>
      <w:tr w:rsidR="00B64BF9" w:rsidRPr="00D8045D" w14:paraId="7485813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1BA1B7AF" w14:textId="7E4C6533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5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61074CA" w14:textId="77777777" w:rsidR="00B64BF9" w:rsidRPr="00ED1DBB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ED1DBB">
              <w:rPr>
                <w:b w:val="0"/>
                <w:sz w:val="20"/>
                <w:szCs w:val="20"/>
              </w:rPr>
              <w:t xml:space="preserve">Glavaški M, </w:t>
            </w:r>
            <w:r w:rsidRPr="00ED1DBB">
              <w:rPr>
                <w:sz w:val="20"/>
                <w:szCs w:val="20"/>
              </w:rPr>
              <w:t>Velicki L.</w:t>
            </w:r>
            <w:r w:rsidRPr="00ED1DBB">
              <w:rPr>
                <w:b w:val="0"/>
                <w:sz w:val="20"/>
                <w:szCs w:val="20"/>
              </w:rPr>
              <w:t xml:space="preserve"> </w:t>
            </w:r>
            <w:hyperlink r:id="rId31" w:history="1">
              <w:r w:rsidRPr="009157C7">
                <w:rPr>
                  <w:rStyle w:val="Hyperlink"/>
                  <w:b w:val="0"/>
                  <w:sz w:val="20"/>
                  <w:szCs w:val="20"/>
                </w:rPr>
                <w:t>Humans and machines in biomedical knowledge curation: hypertrophic cardiomyopathy molecular mechanisms' representation</w:t>
              </w:r>
            </w:hyperlink>
            <w:r w:rsidRPr="00ED1DBB">
              <w:rPr>
                <w:b w:val="0"/>
                <w:sz w:val="20"/>
                <w:szCs w:val="20"/>
              </w:rPr>
              <w:t xml:space="preserve">. BioData Min. 2021 Oct 2;14(1):45. </w:t>
            </w:r>
          </w:p>
        </w:tc>
        <w:tc>
          <w:tcPr>
            <w:tcW w:w="492" w:type="pct"/>
            <w:gridSpan w:val="2"/>
            <w:vAlign w:val="center"/>
          </w:tcPr>
          <w:p w14:paraId="605D3668" w14:textId="77777777" w:rsidR="00B64BF9" w:rsidRPr="003E7328" w:rsidRDefault="00B64BF9" w:rsidP="00B64BF9">
            <w:pPr>
              <w:jc w:val="center"/>
            </w:pPr>
            <w:r>
              <w:t>12/57</w:t>
            </w:r>
          </w:p>
        </w:tc>
        <w:tc>
          <w:tcPr>
            <w:tcW w:w="409" w:type="pct"/>
            <w:gridSpan w:val="2"/>
            <w:vAlign w:val="center"/>
          </w:tcPr>
          <w:p w14:paraId="72FD297E" w14:textId="77777777" w:rsidR="00B64BF9" w:rsidRPr="003E7328" w:rsidRDefault="00B64BF9" w:rsidP="00B64BF9">
            <w:pPr>
              <w:jc w:val="center"/>
            </w:pPr>
            <w:r>
              <w:t>21</w:t>
            </w:r>
          </w:p>
        </w:tc>
        <w:tc>
          <w:tcPr>
            <w:tcW w:w="493" w:type="pct"/>
            <w:vAlign w:val="center"/>
          </w:tcPr>
          <w:p w14:paraId="752DAE52" w14:textId="77777777" w:rsidR="00B64BF9" w:rsidRDefault="00B64BF9" w:rsidP="00B64BF9">
            <w:pPr>
              <w:jc w:val="center"/>
            </w:pPr>
            <w:r>
              <w:t>4.079</w:t>
            </w:r>
          </w:p>
        </w:tc>
      </w:tr>
      <w:tr w:rsidR="00B64BF9" w:rsidRPr="00D8045D" w14:paraId="6C26E4AA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0BA02F4" w14:textId="6BB26E17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6</w:t>
            </w:r>
            <w:r w:rsidRPr="003E7328">
              <w:t xml:space="preserve">. </w:t>
            </w:r>
          </w:p>
        </w:tc>
        <w:tc>
          <w:tcPr>
            <w:tcW w:w="3360" w:type="pct"/>
            <w:gridSpan w:val="7"/>
          </w:tcPr>
          <w:p w14:paraId="3B100F80" w14:textId="77777777" w:rsidR="00B64BF9" w:rsidRPr="00EA1F89" w:rsidRDefault="00B64BF9" w:rsidP="00B64BF9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>
              <w:rPr>
                <w:b w:val="0"/>
                <w:sz w:val="20"/>
                <w:szCs w:val="20"/>
              </w:rPr>
              <w:t xml:space="preserve">Al Raisi S, ... </w:t>
            </w:r>
            <w:r w:rsidRPr="00EA1F89">
              <w:rPr>
                <w:b w:val="0"/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>, ...</w:t>
            </w:r>
            <w:r w:rsidRPr="00EA1F89">
              <w:rPr>
                <w:b w:val="0"/>
                <w:sz w:val="20"/>
                <w:szCs w:val="20"/>
              </w:rPr>
              <w:t xml:space="preserve"> (broj koautora 33)</w:t>
            </w:r>
            <w:r>
              <w:rPr>
                <w:b w:val="0"/>
                <w:sz w:val="20"/>
                <w:szCs w:val="20"/>
              </w:rPr>
              <w:t>.</w:t>
            </w:r>
            <w:r w:rsidRPr="00EA1F89">
              <w:rPr>
                <w:sz w:val="20"/>
                <w:szCs w:val="20"/>
              </w:rPr>
              <w:t> </w:t>
            </w:r>
            <w:hyperlink r:id="rId32" w:history="1">
              <w:r w:rsidRPr="00A52D6E">
                <w:rPr>
                  <w:rStyle w:val="Hyperlink"/>
                  <w:b w:val="0"/>
                  <w:sz w:val="20"/>
                  <w:szCs w:val="20"/>
                </w:rPr>
                <w:t>Ticagrelor versus prasugrel in acute coronary syndrome: sex-specific analysis from the RENAMI Registry</w:t>
              </w:r>
            </w:hyperlink>
            <w:r w:rsidRPr="00EA1F89">
              <w:rPr>
                <w:b w:val="0"/>
                <w:sz w:val="20"/>
                <w:szCs w:val="20"/>
              </w:rPr>
              <w:t xml:space="preserve">. Minerva Cardiol Angiol. 2021 Aug;69(4):408-16. </w:t>
            </w:r>
          </w:p>
        </w:tc>
        <w:tc>
          <w:tcPr>
            <w:tcW w:w="492" w:type="pct"/>
            <w:gridSpan w:val="2"/>
            <w:vAlign w:val="center"/>
          </w:tcPr>
          <w:p w14:paraId="722F7890" w14:textId="77777777" w:rsidR="00B64BF9" w:rsidRPr="003E7328" w:rsidRDefault="00B64BF9" w:rsidP="00B64BF9">
            <w:pPr>
              <w:jc w:val="center"/>
            </w:pPr>
            <w:r>
              <w:t>106/143</w:t>
            </w:r>
          </w:p>
        </w:tc>
        <w:tc>
          <w:tcPr>
            <w:tcW w:w="409" w:type="pct"/>
            <w:gridSpan w:val="2"/>
            <w:vAlign w:val="center"/>
          </w:tcPr>
          <w:p w14:paraId="22312F11" w14:textId="77777777" w:rsidR="00B64BF9" w:rsidRPr="003E7328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53E7514D" w14:textId="77777777" w:rsidR="00B64BF9" w:rsidRDefault="00B64BF9" w:rsidP="00B64BF9">
            <w:pPr>
              <w:jc w:val="center"/>
            </w:pPr>
            <w:r>
              <w:t>2.269</w:t>
            </w:r>
          </w:p>
        </w:tc>
      </w:tr>
      <w:tr w:rsidR="00B64BF9" w:rsidRPr="00D8045D" w14:paraId="5799E0E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B1F4AF7" w14:textId="3DC622BA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7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A8BAD49" w14:textId="77777777" w:rsidR="00B64BF9" w:rsidRPr="0034573B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34573B">
              <w:rPr>
                <w:b w:val="0"/>
                <w:sz w:val="20"/>
                <w:szCs w:val="20"/>
              </w:rPr>
              <w:t xml:space="preserve">Glavaški M, </w:t>
            </w:r>
            <w:r w:rsidRPr="0034573B">
              <w:rPr>
                <w:sz w:val="20"/>
                <w:szCs w:val="20"/>
              </w:rPr>
              <w:t>Velicki L</w:t>
            </w:r>
            <w:r w:rsidRPr="0034573B">
              <w:rPr>
                <w:b w:val="0"/>
                <w:sz w:val="20"/>
                <w:szCs w:val="20"/>
              </w:rPr>
              <w:t xml:space="preserve">. </w:t>
            </w:r>
            <w:hyperlink r:id="rId33" w:history="1">
              <w:r w:rsidRPr="0034573B">
                <w:rPr>
                  <w:rStyle w:val="Hyperlink"/>
                  <w:b w:val="0"/>
                  <w:sz w:val="20"/>
                  <w:szCs w:val="20"/>
                </w:rPr>
                <w:t>Shared Molecular Mechanisms of Hypertrophic Cardiomyopathy and Its Clinical Presentations: Automated Molecular Mechanisms Extraction Approach</w:t>
              </w:r>
            </w:hyperlink>
            <w:r w:rsidRPr="0034573B">
              <w:rPr>
                <w:b w:val="0"/>
                <w:sz w:val="20"/>
                <w:szCs w:val="20"/>
              </w:rPr>
              <w:t xml:space="preserve">. Life (Basel). 2021 Aug 3;11(8):785. </w:t>
            </w:r>
          </w:p>
        </w:tc>
        <w:tc>
          <w:tcPr>
            <w:tcW w:w="492" w:type="pct"/>
            <w:gridSpan w:val="2"/>
            <w:vAlign w:val="center"/>
          </w:tcPr>
          <w:p w14:paraId="0B83B545" w14:textId="77777777" w:rsidR="00B64BF9" w:rsidRDefault="00B64BF9" w:rsidP="00B64BF9">
            <w:pPr>
              <w:jc w:val="center"/>
            </w:pPr>
            <w:r>
              <w:t>27/93</w:t>
            </w:r>
          </w:p>
          <w:p w14:paraId="56CDD32F" w14:textId="77777777" w:rsidR="00B64BF9" w:rsidRDefault="00B64BF9" w:rsidP="00B64BF9">
            <w:pPr>
              <w:jc w:val="center"/>
            </w:pPr>
            <w:r>
              <w:t>(2020)</w:t>
            </w:r>
          </w:p>
        </w:tc>
        <w:tc>
          <w:tcPr>
            <w:tcW w:w="409" w:type="pct"/>
            <w:gridSpan w:val="2"/>
            <w:vAlign w:val="center"/>
          </w:tcPr>
          <w:p w14:paraId="312B97FA" w14:textId="77777777" w:rsidR="00B64BF9" w:rsidRDefault="00B64BF9" w:rsidP="00B64BF9">
            <w:pPr>
              <w:jc w:val="center"/>
            </w:pPr>
            <w:r>
              <w:t>21</w:t>
            </w:r>
          </w:p>
          <w:p w14:paraId="70722CDB" w14:textId="77777777" w:rsidR="00B64BF9" w:rsidRDefault="00B64BF9" w:rsidP="00B64BF9">
            <w:pPr>
              <w:jc w:val="center"/>
            </w:pPr>
            <w:r>
              <w:t>(2020)</w:t>
            </w:r>
          </w:p>
        </w:tc>
        <w:tc>
          <w:tcPr>
            <w:tcW w:w="493" w:type="pct"/>
            <w:vAlign w:val="center"/>
          </w:tcPr>
          <w:p w14:paraId="672FC1FF" w14:textId="77777777" w:rsidR="00B64BF9" w:rsidRDefault="00B64BF9" w:rsidP="00B64BF9">
            <w:pPr>
              <w:jc w:val="center"/>
            </w:pPr>
            <w:r>
              <w:t>3.817</w:t>
            </w:r>
          </w:p>
          <w:p w14:paraId="2E3237F8" w14:textId="77777777" w:rsidR="00B64BF9" w:rsidRDefault="00B64BF9" w:rsidP="00B64BF9">
            <w:pPr>
              <w:jc w:val="center"/>
            </w:pPr>
            <w:r>
              <w:t>(2020)</w:t>
            </w:r>
          </w:p>
        </w:tc>
      </w:tr>
      <w:tr w:rsidR="00B64BF9" w:rsidRPr="00D8045D" w14:paraId="61EF89B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5553C5B" w14:textId="2AF70A15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8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1F94B5E" w14:textId="77777777" w:rsidR="00B64BF9" w:rsidRPr="008D14F7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8D14F7">
              <w:rPr>
                <w:rStyle w:val="markedcontent"/>
                <w:b w:val="0"/>
                <w:sz w:val="20"/>
                <w:szCs w:val="20"/>
              </w:rPr>
              <w:t>Redžek</w:t>
            </w:r>
            <w:r>
              <w:rPr>
                <w:rStyle w:val="markedcontent"/>
                <w:b w:val="0"/>
                <w:sz w:val="20"/>
                <w:szCs w:val="20"/>
              </w:rPr>
              <w:t xml:space="preserve"> A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>, Preveden</w:t>
            </w:r>
            <w:r>
              <w:rPr>
                <w:rStyle w:val="markedcontent"/>
                <w:b w:val="0"/>
                <w:sz w:val="20"/>
                <w:szCs w:val="20"/>
              </w:rPr>
              <w:t xml:space="preserve"> A,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 xml:space="preserve"> Golubović</w:t>
            </w:r>
            <w:r>
              <w:rPr>
                <w:rStyle w:val="markedcontent"/>
                <w:b w:val="0"/>
                <w:sz w:val="20"/>
                <w:szCs w:val="20"/>
              </w:rPr>
              <w:t xml:space="preserve"> M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>Gocić Perić</w:t>
            </w:r>
            <w:r>
              <w:rPr>
                <w:rStyle w:val="markedcontent"/>
                <w:b w:val="0"/>
                <w:sz w:val="20"/>
                <w:szCs w:val="20"/>
              </w:rPr>
              <w:t xml:space="preserve"> N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>, Popov</w:t>
            </w:r>
            <w:r>
              <w:rPr>
                <w:rStyle w:val="markedcontent"/>
                <w:b w:val="0"/>
                <w:sz w:val="20"/>
                <w:szCs w:val="20"/>
              </w:rPr>
              <w:t xml:space="preserve"> T,</w:t>
            </w:r>
            <w:r w:rsidRPr="008D14F7">
              <w:rPr>
                <w:rStyle w:val="markedcontent"/>
                <w:b w:val="0"/>
                <w:sz w:val="20"/>
                <w:szCs w:val="20"/>
              </w:rPr>
              <w:t xml:space="preserve"> </w:t>
            </w:r>
            <w:r>
              <w:rPr>
                <w:rStyle w:val="markedcontent"/>
                <w:b w:val="0"/>
                <w:sz w:val="20"/>
                <w:szCs w:val="20"/>
              </w:rPr>
              <w:t>et al…</w:t>
            </w:r>
            <w:r w:rsidRPr="00450827">
              <w:rPr>
                <w:rStyle w:val="markedcontent"/>
                <w:sz w:val="20"/>
                <w:szCs w:val="20"/>
              </w:rPr>
              <w:t>Velicki L</w:t>
            </w:r>
            <w:r w:rsidRPr="00450827">
              <w:rPr>
                <w:rStyle w:val="markedcontent"/>
                <w:b w:val="0"/>
                <w:sz w:val="20"/>
                <w:szCs w:val="20"/>
              </w:rPr>
              <w:t xml:space="preserve">. </w:t>
            </w:r>
            <w:hyperlink r:id="rId34" w:history="1">
              <w:r w:rsidRPr="004E685F">
                <w:rPr>
                  <w:rStyle w:val="Hyperlink"/>
                  <w:b w:val="0"/>
                  <w:sz w:val="20"/>
                  <w:szCs w:val="20"/>
                </w:rPr>
                <w:t>Early massive gastrointestinal bleeding as a complication of left ventricular assist device implantation</w:t>
              </w:r>
            </w:hyperlink>
            <w:r w:rsidRPr="00450827">
              <w:rPr>
                <w:rStyle w:val="markedcontent"/>
                <w:b w:val="0"/>
                <w:sz w:val="20"/>
                <w:szCs w:val="20"/>
              </w:rPr>
              <w:t xml:space="preserve">. Vojnosanit Pregl. </w:t>
            </w:r>
            <w:r w:rsidRPr="00450827">
              <w:rPr>
                <w:b w:val="0"/>
                <w:sz w:val="20"/>
                <w:szCs w:val="20"/>
              </w:rPr>
              <w:t>2021</w:t>
            </w:r>
            <w:r>
              <w:rPr>
                <w:b w:val="0"/>
                <w:sz w:val="20"/>
                <w:szCs w:val="20"/>
              </w:rPr>
              <w:t>;</w:t>
            </w:r>
            <w:r w:rsidRPr="00450827">
              <w:rPr>
                <w:b w:val="0"/>
                <w:sz w:val="20"/>
                <w:szCs w:val="20"/>
              </w:rPr>
              <w:t>78</w:t>
            </w:r>
            <w:r>
              <w:rPr>
                <w:b w:val="0"/>
                <w:sz w:val="20"/>
                <w:szCs w:val="20"/>
              </w:rPr>
              <w:t>(</w:t>
            </w:r>
            <w:r w:rsidRPr="00450827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):</w:t>
            </w:r>
            <w:r w:rsidRPr="00450827">
              <w:rPr>
                <w:b w:val="0"/>
                <w:sz w:val="20"/>
                <w:szCs w:val="20"/>
              </w:rPr>
              <w:t>666-70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2" w:type="pct"/>
            <w:gridSpan w:val="2"/>
            <w:vAlign w:val="center"/>
          </w:tcPr>
          <w:p w14:paraId="03CD4CF6" w14:textId="77777777" w:rsidR="00B64BF9" w:rsidRDefault="00B64BF9" w:rsidP="00B64BF9">
            <w:pPr>
              <w:jc w:val="center"/>
            </w:pPr>
            <w:r>
              <w:t>168/172</w:t>
            </w:r>
          </w:p>
        </w:tc>
        <w:tc>
          <w:tcPr>
            <w:tcW w:w="409" w:type="pct"/>
            <w:gridSpan w:val="2"/>
            <w:vAlign w:val="center"/>
          </w:tcPr>
          <w:p w14:paraId="760E3DEC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1B6A8EA8" w14:textId="77777777" w:rsidR="00B64BF9" w:rsidRDefault="00B64BF9" w:rsidP="00B64BF9">
            <w:pPr>
              <w:jc w:val="center"/>
            </w:pPr>
            <w:r>
              <w:t>0.245</w:t>
            </w:r>
          </w:p>
        </w:tc>
      </w:tr>
      <w:tr w:rsidR="00B64BF9" w:rsidRPr="00D8045D" w14:paraId="0AC9627C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D8209CB" w14:textId="648E8559" w:rsidR="00B64BF9" w:rsidRPr="003E7328" w:rsidRDefault="00B64BF9" w:rsidP="00B64BF9">
            <w:pPr>
              <w:jc w:val="center"/>
            </w:pPr>
            <w:r w:rsidRPr="003E7328">
              <w:t>2</w:t>
            </w:r>
            <w:r>
              <w:t>9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40BE76F4" w14:textId="77777777" w:rsidR="00B64BF9" w:rsidRPr="0055526C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55526C">
              <w:rPr>
                <w:b w:val="0"/>
                <w:sz w:val="20"/>
                <w:szCs w:val="20"/>
              </w:rPr>
              <w:t xml:space="preserve">Smole T, Žunkovič B, Pičulin M, Kokalj E, Robnik-Šikonja M, </w:t>
            </w:r>
            <w:r>
              <w:rPr>
                <w:b w:val="0"/>
                <w:sz w:val="20"/>
                <w:szCs w:val="20"/>
              </w:rPr>
              <w:t>et al…</w:t>
            </w:r>
            <w:r w:rsidRPr="0055526C">
              <w:rPr>
                <w:sz w:val="20"/>
                <w:szCs w:val="20"/>
              </w:rPr>
              <w:t>Velicki L</w:t>
            </w:r>
            <w:r w:rsidRPr="0055526C">
              <w:rPr>
                <w:b w:val="0"/>
                <w:sz w:val="20"/>
                <w:szCs w:val="20"/>
              </w:rPr>
              <w:t xml:space="preserve">. </w:t>
            </w:r>
            <w:hyperlink r:id="rId35" w:history="1">
              <w:r w:rsidRPr="0055526C">
                <w:rPr>
                  <w:rStyle w:val="Hyperlink"/>
                  <w:b w:val="0"/>
                  <w:sz w:val="20"/>
                  <w:szCs w:val="20"/>
                </w:rPr>
                <w:t>A machine learning-based risk stratification model for ventricular tachycardia and heart failure in hypertrophic cardiomyopathy</w:t>
              </w:r>
            </w:hyperlink>
            <w:r w:rsidRPr="0055526C">
              <w:rPr>
                <w:b w:val="0"/>
                <w:sz w:val="20"/>
                <w:szCs w:val="20"/>
              </w:rPr>
              <w:t xml:space="preserve">. Comput Biol Med. 2021 Aug;135:104648. </w:t>
            </w:r>
          </w:p>
        </w:tc>
        <w:tc>
          <w:tcPr>
            <w:tcW w:w="492" w:type="pct"/>
            <w:gridSpan w:val="2"/>
            <w:vAlign w:val="center"/>
          </w:tcPr>
          <w:p w14:paraId="65E6500C" w14:textId="77777777" w:rsidR="00B64BF9" w:rsidRDefault="00B64BF9" w:rsidP="00B64BF9">
            <w:pPr>
              <w:jc w:val="center"/>
            </w:pPr>
            <w:r>
              <w:t>22/98</w:t>
            </w:r>
          </w:p>
        </w:tc>
        <w:tc>
          <w:tcPr>
            <w:tcW w:w="409" w:type="pct"/>
            <w:gridSpan w:val="2"/>
            <w:vAlign w:val="center"/>
          </w:tcPr>
          <w:p w14:paraId="4F99BB4B" w14:textId="77777777" w:rsidR="00B64BF9" w:rsidRDefault="00B64BF9" w:rsidP="00B64BF9">
            <w:pPr>
              <w:jc w:val="center"/>
            </w:pPr>
            <w:r>
              <w:t>21</w:t>
            </w:r>
          </w:p>
        </w:tc>
        <w:tc>
          <w:tcPr>
            <w:tcW w:w="493" w:type="pct"/>
            <w:vAlign w:val="center"/>
          </w:tcPr>
          <w:p w14:paraId="57B30B67" w14:textId="77777777" w:rsidR="00B64BF9" w:rsidRDefault="00B64BF9" w:rsidP="00B64BF9">
            <w:pPr>
              <w:jc w:val="center"/>
            </w:pPr>
            <w:r>
              <w:t>6.698</w:t>
            </w:r>
          </w:p>
        </w:tc>
      </w:tr>
      <w:tr w:rsidR="00B64BF9" w:rsidRPr="00D8045D" w14:paraId="302B7CB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AD3F062" w14:textId="21C57F8C" w:rsidR="00B64BF9" w:rsidRPr="003E7328" w:rsidRDefault="00B64BF9" w:rsidP="00B64BF9">
            <w:pPr>
              <w:jc w:val="center"/>
            </w:pPr>
            <w:r>
              <w:t>30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FB9C86D" w14:textId="77777777" w:rsidR="00B64BF9" w:rsidRPr="004476DF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4476DF">
              <w:rPr>
                <w:b w:val="0"/>
                <w:sz w:val="20"/>
                <w:szCs w:val="20"/>
              </w:rPr>
              <w:t xml:space="preserve">Wibowo PG, Charman SJ, Okwose NC, </w:t>
            </w:r>
            <w:r w:rsidRPr="004476DF">
              <w:rPr>
                <w:sz w:val="20"/>
                <w:szCs w:val="20"/>
              </w:rPr>
              <w:t>Velicki L</w:t>
            </w:r>
            <w:r w:rsidRPr="004476DF">
              <w:rPr>
                <w:b w:val="0"/>
                <w:sz w:val="20"/>
                <w:szCs w:val="20"/>
              </w:rPr>
              <w:t>, Popovi</w:t>
            </w:r>
            <w:r>
              <w:rPr>
                <w:b w:val="0"/>
                <w:sz w:val="20"/>
                <w:szCs w:val="20"/>
              </w:rPr>
              <w:t>ć</w:t>
            </w:r>
            <w:r w:rsidRPr="004476DF">
              <w:rPr>
                <w:b w:val="0"/>
                <w:sz w:val="20"/>
                <w:szCs w:val="20"/>
              </w:rPr>
              <w:t xml:space="preserve"> D, Hollingsworth KG, Macgowan </w:t>
            </w:r>
            <w:r>
              <w:rPr>
                <w:b w:val="0"/>
                <w:sz w:val="20"/>
                <w:szCs w:val="20"/>
              </w:rPr>
              <w:t>et al</w:t>
            </w:r>
            <w:r w:rsidRPr="004476DF">
              <w:rPr>
                <w:b w:val="0"/>
                <w:sz w:val="20"/>
                <w:szCs w:val="20"/>
              </w:rPr>
              <w:t xml:space="preserve">. </w:t>
            </w:r>
            <w:hyperlink r:id="rId36" w:history="1">
              <w:r w:rsidRPr="004476DF">
                <w:rPr>
                  <w:rStyle w:val="Hyperlink"/>
                  <w:b w:val="0"/>
                  <w:sz w:val="20"/>
                  <w:szCs w:val="20"/>
                </w:rPr>
                <w:t>Association between cardiac high-energy phosphate metabolism and whole body metabolism in healthy female adults</w:t>
              </w:r>
            </w:hyperlink>
            <w:r w:rsidRPr="004476DF">
              <w:rPr>
                <w:b w:val="0"/>
                <w:sz w:val="20"/>
                <w:szCs w:val="20"/>
              </w:rPr>
              <w:t xml:space="preserve">. Physiol Res. 2021 Jul 12;70(3):393-9. </w:t>
            </w:r>
          </w:p>
        </w:tc>
        <w:tc>
          <w:tcPr>
            <w:tcW w:w="492" w:type="pct"/>
            <w:gridSpan w:val="2"/>
            <w:vAlign w:val="center"/>
          </w:tcPr>
          <w:p w14:paraId="754ADBEE" w14:textId="77777777" w:rsidR="00B64BF9" w:rsidRDefault="00B64BF9" w:rsidP="00B64BF9">
            <w:pPr>
              <w:jc w:val="center"/>
            </w:pPr>
            <w:r>
              <w:t>66/81</w:t>
            </w:r>
          </w:p>
        </w:tc>
        <w:tc>
          <w:tcPr>
            <w:tcW w:w="409" w:type="pct"/>
            <w:gridSpan w:val="2"/>
            <w:vAlign w:val="center"/>
          </w:tcPr>
          <w:p w14:paraId="53E42D99" w14:textId="77777777" w:rsidR="00B64BF9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73B63566" w14:textId="77777777" w:rsidR="00B64BF9" w:rsidRDefault="00B64BF9" w:rsidP="00B64BF9">
            <w:pPr>
              <w:jc w:val="center"/>
            </w:pPr>
            <w:r>
              <w:t>2.139</w:t>
            </w:r>
          </w:p>
        </w:tc>
      </w:tr>
      <w:tr w:rsidR="00B64BF9" w:rsidRPr="00D8045D" w14:paraId="37D3D28C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F5B8F36" w14:textId="0A371F55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1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4691B63A" w14:textId="77777777" w:rsidR="00B64BF9" w:rsidRPr="00B2593D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B2593D">
              <w:rPr>
                <w:b w:val="0"/>
                <w:sz w:val="20"/>
                <w:szCs w:val="20"/>
              </w:rPr>
              <w:t xml:space="preserve">Djordjević A, Šušak S, </w:t>
            </w:r>
            <w:r w:rsidRPr="00B2593D">
              <w:rPr>
                <w:sz w:val="20"/>
                <w:szCs w:val="20"/>
              </w:rPr>
              <w:t>Velicki L</w:t>
            </w:r>
            <w:r w:rsidRPr="00B2593D">
              <w:rPr>
                <w:b w:val="0"/>
                <w:sz w:val="20"/>
                <w:szCs w:val="20"/>
              </w:rPr>
              <w:t xml:space="preserve">, Antonič M. </w:t>
            </w:r>
            <w:hyperlink r:id="rId37" w:history="1">
              <w:r w:rsidRPr="009B5FC1">
                <w:rPr>
                  <w:rStyle w:val="Hyperlink"/>
                  <w:b w:val="0"/>
                  <w:sz w:val="20"/>
                  <w:szCs w:val="20"/>
                </w:rPr>
                <w:t>Acute kidney injury after open-heart surgery procedures</w:t>
              </w:r>
            </w:hyperlink>
            <w:r w:rsidRPr="00B2593D">
              <w:rPr>
                <w:b w:val="0"/>
                <w:sz w:val="20"/>
                <w:szCs w:val="20"/>
              </w:rPr>
              <w:t xml:space="preserve">. Acta Clin Croat. 2021 Mar;60(1):120-6. </w:t>
            </w:r>
          </w:p>
        </w:tc>
        <w:tc>
          <w:tcPr>
            <w:tcW w:w="492" w:type="pct"/>
            <w:gridSpan w:val="2"/>
            <w:vAlign w:val="center"/>
          </w:tcPr>
          <w:p w14:paraId="5F089DF8" w14:textId="77777777" w:rsidR="00B64BF9" w:rsidRPr="003E7328" w:rsidRDefault="00B64BF9" w:rsidP="00B64BF9">
            <w:pPr>
              <w:jc w:val="center"/>
            </w:pPr>
            <w:r>
              <w:t>150/172</w:t>
            </w:r>
          </w:p>
        </w:tc>
        <w:tc>
          <w:tcPr>
            <w:tcW w:w="409" w:type="pct"/>
            <w:gridSpan w:val="2"/>
            <w:vAlign w:val="center"/>
          </w:tcPr>
          <w:p w14:paraId="68A11732" w14:textId="77777777" w:rsidR="00B64BF9" w:rsidRPr="003E7328" w:rsidRDefault="00B64BF9" w:rsidP="00B64BF9">
            <w:pPr>
              <w:jc w:val="center"/>
            </w:pPr>
            <w:r>
              <w:t>23</w:t>
            </w:r>
          </w:p>
        </w:tc>
        <w:tc>
          <w:tcPr>
            <w:tcW w:w="493" w:type="pct"/>
            <w:vAlign w:val="center"/>
          </w:tcPr>
          <w:p w14:paraId="0703CCC8" w14:textId="77777777" w:rsidR="00B64BF9" w:rsidRDefault="00B64BF9" w:rsidP="00B64BF9">
            <w:pPr>
              <w:jc w:val="center"/>
            </w:pPr>
            <w:r>
              <w:t>0.932</w:t>
            </w:r>
          </w:p>
        </w:tc>
      </w:tr>
      <w:tr w:rsidR="00B64BF9" w:rsidRPr="00D8045D" w14:paraId="6CA9435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441200C" w14:textId="1136C657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2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177485F" w14:textId="77777777" w:rsidR="00B64BF9" w:rsidRPr="002D1314" w:rsidRDefault="00B64BF9" w:rsidP="00B64BF9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2D1314">
              <w:rPr>
                <w:b w:val="0"/>
                <w:sz w:val="20"/>
                <w:szCs w:val="20"/>
              </w:rPr>
              <w:t xml:space="preserve">Bianco M, </w:t>
            </w:r>
            <w:r>
              <w:rPr>
                <w:b w:val="0"/>
                <w:sz w:val="20"/>
                <w:szCs w:val="20"/>
              </w:rPr>
              <w:t xml:space="preserve">... </w:t>
            </w:r>
            <w:r w:rsidRPr="002D1314">
              <w:rPr>
                <w:sz w:val="20"/>
                <w:szCs w:val="20"/>
              </w:rPr>
              <w:t>Velicki L</w:t>
            </w:r>
            <w:r w:rsidRPr="002D1314"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t>... (broj koautora 39).</w:t>
            </w:r>
            <w:r w:rsidRPr="002D1314">
              <w:rPr>
                <w:b w:val="0"/>
                <w:sz w:val="20"/>
                <w:szCs w:val="20"/>
              </w:rPr>
              <w:t xml:space="preserve"> </w:t>
            </w:r>
            <w:hyperlink r:id="rId38" w:history="1">
              <w:r w:rsidRPr="00A07961">
                <w:rPr>
                  <w:rStyle w:val="Hyperlink"/>
                  <w:b w:val="0"/>
                  <w:sz w:val="20"/>
                  <w:szCs w:val="20"/>
                </w:rPr>
                <w:t>Ticagrelor or Clopidogrel After an Acute Coronary Syndrome in the Elderly: A Propensity Score Matching Analysis from 16,653 Patients Treated with PCI Included in Two Large Multinational Registries</w:t>
              </w:r>
            </w:hyperlink>
            <w:r w:rsidRPr="002D1314">
              <w:rPr>
                <w:b w:val="0"/>
                <w:sz w:val="20"/>
                <w:szCs w:val="20"/>
              </w:rPr>
              <w:t xml:space="preserve">. Cardiovasc Drugs Ther. 2021 Dec;35(6):1171-82. </w:t>
            </w:r>
          </w:p>
        </w:tc>
        <w:tc>
          <w:tcPr>
            <w:tcW w:w="492" w:type="pct"/>
            <w:gridSpan w:val="2"/>
            <w:vAlign w:val="center"/>
          </w:tcPr>
          <w:p w14:paraId="38204073" w14:textId="77777777" w:rsidR="00B64BF9" w:rsidRDefault="00B64BF9" w:rsidP="00B64BF9">
            <w:pPr>
              <w:jc w:val="center"/>
            </w:pPr>
            <w:r>
              <w:t>37/138</w:t>
            </w:r>
          </w:p>
          <w:p w14:paraId="485550BF" w14:textId="77777777" w:rsidR="00B64BF9" w:rsidRDefault="00B64BF9" w:rsidP="00B64BF9">
            <w:pPr>
              <w:jc w:val="center"/>
            </w:pPr>
            <w:r>
              <w:t>(2019)</w:t>
            </w:r>
          </w:p>
        </w:tc>
        <w:tc>
          <w:tcPr>
            <w:tcW w:w="409" w:type="pct"/>
            <w:gridSpan w:val="2"/>
            <w:vAlign w:val="center"/>
          </w:tcPr>
          <w:p w14:paraId="0C07887B" w14:textId="77777777" w:rsidR="00B64BF9" w:rsidRDefault="00B64BF9" w:rsidP="00B64BF9">
            <w:pPr>
              <w:jc w:val="center"/>
            </w:pPr>
            <w:r>
              <w:t>21</w:t>
            </w:r>
          </w:p>
          <w:p w14:paraId="180B890A" w14:textId="77777777" w:rsidR="00B64BF9" w:rsidRDefault="00B64BF9" w:rsidP="00B64BF9">
            <w:pPr>
              <w:jc w:val="center"/>
            </w:pPr>
            <w:r>
              <w:t>(2019)</w:t>
            </w:r>
          </w:p>
        </w:tc>
        <w:tc>
          <w:tcPr>
            <w:tcW w:w="493" w:type="pct"/>
            <w:vAlign w:val="center"/>
          </w:tcPr>
          <w:p w14:paraId="0D94FA82" w14:textId="77777777" w:rsidR="00B64BF9" w:rsidRDefault="00B64BF9" w:rsidP="00B64BF9">
            <w:pPr>
              <w:jc w:val="center"/>
            </w:pPr>
            <w:r>
              <w:t>4.069</w:t>
            </w:r>
          </w:p>
          <w:p w14:paraId="275B17B5" w14:textId="77777777" w:rsidR="00B64BF9" w:rsidRDefault="00B64BF9" w:rsidP="00B64BF9">
            <w:pPr>
              <w:jc w:val="center"/>
            </w:pPr>
            <w:r>
              <w:t>(2019)</w:t>
            </w:r>
          </w:p>
        </w:tc>
      </w:tr>
      <w:tr w:rsidR="00B64BF9" w:rsidRPr="00D8045D" w14:paraId="114AC28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489FAA3" w14:textId="727C23BF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C610D5E" w14:textId="77777777" w:rsidR="00B64BF9" w:rsidRPr="00A466FB" w:rsidRDefault="00B64BF9" w:rsidP="00B64BF9">
            <w:pPr>
              <w:pStyle w:val="Heading1"/>
              <w:shd w:val="clear" w:color="auto" w:fill="FFFFFF"/>
              <w:jc w:val="both"/>
              <w:rPr>
                <w:sz w:val="20"/>
                <w:szCs w:val="20"/>
                <w:lang w:eastAsia="en-GB"/>
              </w:rPr>
            </w:pPr>
            <w:r w:rsidRPr="00A466FB"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  <w:t>D'Ascenzo F; De Filippo O; Gallone G; Mittone G; Deriu MA; Iannaccone M</w:t>
            </w:r>
            <w:r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  <w:t>et al</w:t>
            </w:r>
            <w:r w:rsidRPr="00A466FB"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  <w:t>; </w:t>
            </w:r>
            <w:r w:rsidRPr="00A466FB">
              <w:rPr>
                <w:rStyle w:val="Strong"/>
                <w:sz w:val="20"/>
                <w:szCs w:val="20"/>
                <w:bdr w:val="none" w:sz="0" w:space="0" w:color="auto" w:frame="1"/>
              </w:rPr>
              <w:t>PRAISE</w:t>
            </w:r>
            <w:r w:rsidRPr="00A466FB">
              <w:rPr>
                <w:rStyle w:val="standard-view-style"/>
                <w:sz w:val="20"/>
                <w:szCs w:val="20"/>
                <w:bdr w:val="none" w:sz="0" w:space="0" w:color="auto" w:frame="1"/>
              </w:rPr>
              <w:t> </w:t>
            </w:r>
            <w:r w:rsidRPr="00A466FB">
              <w:rPr>
                <w:rStyle w:val="Strong"/>
                <w:sz w:val="20"/>
                <w:szCs w:val="20"/>
                <w:bdr w:val="none" w:sz="0" w:space="0" w:color="auto" w:frame="1"/>
              </w:rPr>
              <w:t>study</w:t>
            </w:r>
            <w:r w:rsidRPr="00A466FB"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  <w:t xml:space="preserve"> group (including </w:t>
            </w:r>
            <w:r w:rsidRPr="00A466FB">
              <w:rPr>
                <w:rStyle w:val="standard-view-style"/>
                <w:sz w:val="20"/>
                <w:szCs w:val="20"/>
                <w:bdr w:val="none" w:sz="0" w:space="0" w:color="auto" w:frame="1"/>
              </w:rPr>
              <w:t>Velicki L</w:t>
            </w:r>
            <w:r w:rsidRPr="00A466FB"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  <w:t xml:space="preserve">). </w:t>
            </w:r>
            <w:hyperlink r:id="rId39" w:history="1">
              <w:r w:rsidRPr="00F07FC5">
                <w:rPr>
                  <w:rStyle w:val="Hyperlink"/>
                  <w:b w:val="0"/>
                  <w:sz w:val="20"/>
                  <w:szCs w:val="20"/>
                </w:rPr>
                <w:t>Machine learning-based prediction of adverse events following an acute coronary syndrome (PRAISE): a modeling study of pooled datasets</w:t>
              </w:r>
            </w:hyperlink>
            <w:r w:rsidRPr="00A466FB">
              <w:rPr>
                <w:b w:val="0"/>
                <w:sz w:val="20"/>
                <w:szCs w:val="20"/>
              </w:rPr>
              <w:t>. Lancet. 2021;397(10270):199-207.</w:t>
            </w:r>
          </w:p>
        </w:tc>
        <w:tc>
          <w:tcPr>
            <w:tcW w:w="492" w:type="pct"/>
            <w:gridSpan w:val="2"/>
            <w:vAlign w:val="center"/>
          </w:tcPr>
          <w:p w14:paraId="224A93EF" w14:textId="77777777" w:rsidR="00B64BF9" w:rsidRPr="003E7328" w:rsidRDefault="00B64BF9" w:rsidP="00B64BF9">
            <w:pPr>
              <w:jc w:val="center"/>
            </w:pPr>
            <w:r>
              <w:t>1</w:t>
            </w:r>
            <w:r w:rsidRPr="003E7328">
              <w:t>/1</w:t>
            </w:r>
            <w:r>
              <w:t>72</w:t>
            </w:r>
          </w:p>
          <w:p w14:paraId="221A07ED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5BAEC93E" w14:textId="77777777" w:rsidR="00B64BF9" w:rsidRPr="003E7328" w:rsidRDefault="00B64BF9" w:rsidP="00B64BF9">
            <w:pPr>
              <w:jc w:val="center"/>
            </w:pPr>
            <w:r w:rsidRPr="003E7328">
              <w:t>21a</w:t>
            </w:r>
          </w:p>
          <w:p w14:paraId="5B6B2790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38D9A990" w14:textId="77777777" w:rsidR="00B64BF9" w:rsidRPr="003E7328" w:rsidRDefault="00B64BF9" w:rsidP="00B64BF9">
            <w:pPr>
              <w:jc w:val="center"/>
            </w:pPr>
            <w:r>
              <w:t>202.731</w:t>
            </w:r>
          </w:p>
        </w:tc>
      </w:tr>
      <w:tr w:rsidR="00B64BF9" w:rsidRPr="00D8045D" w14:paraId="39A873BE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C152D8C" w14:textId="4E1C25BD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3814DC4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Zdravkovi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R, Red</w:t>
            </w:r>
            <w:r>
              <w:rPr>
                <w:lang w:eastAsia="en-GB"/>
              </w:rPr>
              <w:t>ž</w:t>
            </w:r>
            <w:r w:rsidRPr="003E7328">
              <w:rPr>
                <w:lang w:eastAsia="en-GB"/>
              </w:rPr>
              <w:t>ek A, Susak S, Vu</w:t>
            </w:r>
            <w:r>
              <w:rPr>
                <w:lang w:eastAsia="en-GB"/>
              </w:rPr>
              <w:t>č</w:t>
            </w:r>
            <w:r w:rsidRPr="003E7328">
              <w:rPr>
                <w:lang w:eastAsia="en-GB"/>
              </w:rPr>
              <w:t>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J, Golubovi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M,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40" w:history="1">
              <w:r w:rsidRPr="00F07FC5">
                <w:rPr>
                  <w:rStyle w:val="Hyperlink"/>
                  <w:lang w:eastAsia="en-GB"/>
                </w:rPr>
                <w:t>Unique carotid-vertebral occlusive disease in a patient admitted for cardiac surgery.</w:t>
              </w:r>
            </w:hyperlink>
            <w:r w:rsidRPr="003E7328">
              <w:rPr>
                <w:lang w:eastAsia="en-GB"/>
              </w:rPr>
              <w:t xml:space="preserve"> Acta Cardiol. </w:t>
            </w:r>
            <w:r>
              <w:t>2021;76(9):1025-6</w:t>
            </w:r>
            <w:r w:rsidRPr="003E7328">
              <w:rPr>
                <w:lang w:eastAsia="en-GB"/>
              </w:rPr>
              <w:t xml:space="preserve">. </w:t>
            </w:r>
          </w:p>
        </w:tc>
        <w:tc>
          <w:tcPr>
            <w:tcW w:w="492" w:type="pct"/>
            <w:gridSpan w:val="2"/>
            <w:vAlign w:val="center"/>
          </w:tcPr>
          <w:p w14:paraId="2291466D" w14:textId="77777777" w:rsidR="00B64BF9" w:rsidRPr="003E7328" w:rsidRDefault="00B64BF9" w:rsidP="00B64BF9">
            <w:pPr>
              <w:jc w:val="center"/>
            </w:pPr>
            <w:r w:rsidRPr="003E7328">
              <w:t>12</w:t>
            </w:r>
            <w:r>
              <w:t>5</w:t>
            </w:r>
            <w:r w:rsidRPr="003E7328">
              <w:t>/1</w:t>
            </w:r>
            <w:r>
              <w:t>43</w:t>
            </w:r>
          </w:p>
        </w:tc>
        <w:tc>
          <w:tcPr>
            <w:tcW w:w="409" w:type="pct"/>
            <w:gridSpan w:val="2"/>
            <w:vAlign w:val="center"/>
          </w:tcPr>
          <w:p w14:paraId="3A477E7E" w14:textId="77777777" w:rsidR="00B64BF9" w:rsidRPr="003E7328" w:rsidRDefault="00B64BF9" w:rsidP="00B64BF9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493" w:type="pct"/>
            <w:vAlign w:val="center"/>
          </w:tcPr>
          <w:p w14:paraId="63CC78C5" w14:textId="77777777" w:rsidR="00B64BF9" w:rsidRDefault="00B64BF9" w:rsidP="00B64BF9">
            <w:pPr>
              <w:jc w:val="center"/>
            </w:pPr>
          </w:p>
          <w:p w14:paraId="364204F8" w14:textId="77777777" w:rsidR="00B64BF9" w:rsidRDefault="00B64BF9" w:rsidP="00B64BF9">
            <w:pPr>
              <w:jc w:val="center"/>
            </w:pPr>
            <w:r w:rsidRPr="003E7328">
              <w:t>1.</w:t>
            </w:r>
            <w:r>
              <w:t>738</w:t>
            </w:r>
          </w:p>
          <w:p w14:paraId="1DC56B0C" w14:textId="77777777" w:rsidR="00B64BF9" w:rsidRPr="003E7328" w:rsidRDefault="00B64BF9" w:rsidP="00B64BF9">
            <w:pPr>
              <w:jc w:val="center"/>
            </w:pPr>
          </w:p>
        </w:tc>
      </w:tr>
      <w:tr w:rsidR="00B64BF9" w:rsidRPr="00D8045D" w14:paraId="0B1D9651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E6D0556" w14:textId="4CDE9F79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5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07726865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>, Jakovljevi</w:t>
            </w:r>
            <w:r>
              <w:rPr>
                <w:lang w:eastAsia="en-GB"/>
              </w:rPr>
              <w:t>ć D</w:t>
            </w:r>
            <w:r w:rsidRPr="003E7328">
              <w:rPr>
                <w:lang w:eastAsia="en-GB"/>
              </w:rPr>
              <w:t>, Preveden A, Golubovi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M, Bjelobrk M, Ili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A,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. </w:t>
            </w:r>
            <w:hyperlink r:id="rId41" w:history="1">
              <w:r w:rsidRPr="003E7328">
                <w:rPr>
                  <w:rStyle w:val="Hyperlink"/>
                  <w:lang w:eastAsia="en-GB"/>
                </w:rPr>
                <w:t>Genetic determinants of clinical phenotype in hypertrophic cardiomyopathy</w:t>
              </w:r>
            </w:hyperlink>
            <w:r w:rsidRPr="003E7328">
              <w:rPr>
                <w:lang w:eastAsia="en-GB"/>
              </w:rPr>
              <w:t xml:space="preserve">. BMC Cardiovasc Disord. 2020;20(1):516. </w:t>
            </w:r>
          </w:p>
        </w:tc>
        <w:tc>
          <w:tcPr>
            <w:tcW w:w="492" w:type="pct"/>
            <w:gridSpan w:val="2"/>
            <w:vAlign w:val="center"/>
          </w:tcPr>
          <w:p w14:paraId="4B1BAE5A" w14:textId="77777777" w:rsidR="00B64BF9" w:rsidRPr="003E7328" w:rsidRDefault="00B64BF9" w:rsidP="00B64BF9">
            <w:pPr>
              <w:jc w:val="center"/>
            </w:pPr>
            <w:r w:rsidRPr="003E7328">
              <w:t>82/138 (2019)</w:t>
            </w:r>
          </w:p>
        </w:tc>
        <w:tc>
          <w:tcPr>
            <w:tcW w:w="409" w:type="pct"/>
            <w:gridSpan w:val="2"/>
            <w:vAlign w:val="center"/>
          </w:tcPr>
          <w:p w14:paraId="7FFC8D5B" w14:textId="77777777" w:rsidR="00B64BF9" w:rsidRPr="003E7328" w:rsidRDefault="00B64BF9" w:rsidP="00B64BF9">
            <w:pPr>
              <w:jc w:val="center"/>
            </w:pPr>
            <w:r w:rsidRPr="003E7328">
              <w:t>22 (2019)</w:t>
            </w:r>
          </w:p>
        </w:tc>
        <w:tc>
          <w:tcPr>
            <w:tcW w:w="493" w:type="pct"/>
            <w:vAlign w:val="center"/>
          </w:tcPr>
          <w:p w14:paraId="16C7D406" w14:textId="77777777" w:rsidR="00B64BF9" w:rsidRPr="003E7328" w:rsidRDefault="00B64BF9" w:rsidP="00B64BF9">
            <w:pPr>
              <w:jc w:val="center"/>
            </w:pPr>
            <w:r w:rsidRPr="003E7328">
              <w:t>2.078 (2019)</w:t>
            </w:r>
          </w:p>
        </w:tc>
      </w:tr>
      <w:tr w:rsidR="00B64BF9" w:rsidRPr="00D8045D" w14:paraId="7C265E8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91C5461" w14:textId="6577CE4E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6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1EDDD47F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Charman SJ,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>, Okwose NC, Harwood A, McGregor G, Risti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A,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. </w:t>
            </w:r>
            <w:hyperlink r:id="rId42" w:history="1">
              <w:r w:rsidRPr="003E7328">
                <w:rPr>
                  <w:rStyle w:val="Hyperlink"/>
                  <w:lang w:eastAsia="en-GB"/>
                </w:rPr>
                <w:t>Insights into heart failure hospitalizations, management, and services during and beyond COVID-19</w:t>
              </w:r>
            </w:hyperlink>
            <w:r w:rsidRPr="003E7328">
              <w:rPr>
                <w:lang w:eastAsia="en-GB"/>
              </w:rPr>
              <w:t>. ESC Heart Fail. 2020 Nov 24. Doi: 10.1002/ehf2.13061.</w:t>
            </w:r>
          </w:p>
        </w:tc>
        <w:tc>
          <w:tcPr>
            <w:tcW w:w="492" w:type="pct"/>
            <w:gridSpan w:val="2"/>
            <w:vAlign w:val="center"/>
          </w:tcPr>
          <w:p w14:paraId="3F2DDC03" w14:textId="77777777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9</w:t>
            </w:r>
            <w:r w:rsidRPr="003E7328">
              <w:t>4/1</w:t>
            </w:r>
            <w:r>
              <w:t>41</w:t>
            </w:r>
            <w:r w:rsidRPr="003E7328">
              <w:t xml:space="preserve"> (20</w:t>
            </w:r>
            <w:r>
              <w:t>20</w:t>
            </w:r>
            <w:r w:rsidRPr="003E7328">
              <w:t>)</w:t>
            </w:r>
          </w:p>
        </w:tc>
        <w:tc>
          <w:tcPr>
            <w:tcW w:w="409" w:type="pct"/>
            <w:gridSpan w:val="2"/>
            <w:vAlign w:val="center"/>
          </w:tcPr>
          <w:p w14:paraId="5D5E2AB1" w14:textId="77777777" w:rsidR="00B64BF9" w:rsidRPr="003E7328" w:rsidRDefault="00B64BF9" w:rsidP="00B64BF9">
            <w:pPr>
              <w:jc w:val="center"/>
            </w:pPr>
            <w:r w:rsidRPr="003E7328">
              <w:t>22 (20</w:t>
            </w:r>
            <w:r>
              <w:t>20</w:t>
            </w:r>
            <w:r w:rsidRPr="003E7328">
              <w:t>)</w:t>
            </w:r>
          </w:p>
        </w:tc>
        <w:tc>
          <w:tcPr>
            <w:tcW w:w="493" w:type="pct"/>
            <w:vAlign w:val="center"/>
          </w:tcPr>
          <w:p w14:paraId="0098ACB5" w14:textId="77777777" w:rsidR="00B64BF9" w:rsidRPr="003E7328" w:rsidRDefault="00B64BF9" w:rsidP="00B64BF9">
            <w:pPr>
              <w:jc w:val="center"/>
            </w:pPr>
            <w:r>
              <w:t>4.411</w:t>
            </w:r>
            <w:r w:rsidRPr="003E7328">
              <w:t xml:space="preserve"> (20</w:t>
            </w:r>
            <w:r>
              <w:t>20</w:t>
            </w:r>
            <w:r w:rsidRPr="003E7328">
              <w:t>)</w:t>
            </w:r>
          </w:p>
        </w:tc>
      </w:tr>
      <w:tr w:rsidR="00B64BF9" w:rsidRPr="00D8045D" w14:paraId="2AE26358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704C1B9" w14:textId="673423D4" w:rsidR="00B64BF9" w:rsidRPr="003E7328" w:rsidRDefault="00B64BF9" w:rsidP="00B64BF9">
            <w:pPr>
              <w:jc w:val="center"/>
            </w:pPr>
            <w:r>
              <w:t>37.</w:t>
            </w:r>
          </w:p>
        </w:tc>
        <w:tc>
          <w:tcPr>
            <w:tcW w:w="3360" w:type="pct"/>
            <w:gridSpan w:val="7"/>
          </w:tcPr>
          <w:p w14:paraId="3C88BE6F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Habijan M, Babin D, Galić I, Leventić H, Romić K,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. </w:t>
            </w:r>
            <w:hyperlink r:id="rId43" w:history="1">
              <w:r w:rsidRPr="003E7328">
                <w:rPr>
                  <w:rStyle w:val="Hyperlink"/>
                  <w:lang w:eastAsia="en-GB"/>
                </w:rPr>
                <w:t>Overview of the whole heart and heart chamber segmentation methods</w:t>
              </w:r>
            </w:hyperlink>
            <w:r w:rsidRPr="003E7328">
              <w:rPr>
                <w:lang w:eastAsia="en-GB"/>
              </w:rPr>
              <w:t xml:space="preserve">. Cardiovasc Eng Technol. </w:t>
            </w:r>
            <w:r w:rsidRPr="003E7328">
              <w:rPr>
                <w:lang w:eastAsia="en-GB"/>
              </w:rPr>
              <w:lastRenderedPageBreak/>
              <w:t xml:space="preserve">2020;11(6):725-47. </w:t>
            </w:r>
          </w:p>
        </w:tc>
        <w:tc>
          <w:tcPr>
            <w:tcW w:w="492" w:type="pct"/>
            <w:gridSpan w:val="2"/>
            <w:vAlign w:val="center"/>
          </w:tcPr>
          <w:p w14:paraId="64FE7533" w14:textId="77777777" w:rsidR="00B64BF9" w:rsidRPr="003E7328" w:rsidRDefault="00B64BF9" w:rsidP="00B64BF9">
            <w:pPr>
              <w:jc w:val="center"/>
            </w:pPr>
            <w:r>
              <w:lastRenderedPageBreak/>
              <w:t>87</w:t>
            </w:r>
            <w:r w:rsidRPr="003E7328">
              <w:t>/1</w:t>
            </w:r>
            <w:r>
              <w:t>41</w:t>
            </w:r>
            <w:r w:rsidRPr="003E7328">
              <w:t xml:space="preserve"> </w:t>
            </w:r>
          </w:p>
        </w:tc>
        <w:tc>
          <w:tcPr>
            <w:tcW w:w="409" w:type="pct"/>
            <w:gridSpan w:val="2"/>
            <w:vAlign w:val="center"/>
          </w:tcPr>
          <w:p w14:paraId="10E30D4E" w14:textId="77777777" w:rsidR="00B64BF9" w:rsidRPr="003E7328" w:rsidRDefault="00B64BF9" w:rsidP="00B64BF9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493" w:type="pct"/>
            <w:vAlign w:val="center"/>
          </w:tcPr>
          <w:p w14:paraId="718232C3" w14:textId="77777777" w:rsidR="00B64BF9" w:rsidRPr="003E7328" w:rsidRDefault="00B64BF9" w:rsidP="00B64BF9">
            <w:pPr>
              <w:jc w:val="center"/>
            </w:pPr>
            <w:r>
              <w:t>2.495</w:t>
            </w:r>
          </w:p>
        </w:tc>
      </w:tr>
      <w:tr w:rsidR="00B64BF9" w:rsidRPr="00D8045D" w14:paraId="281E51BD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A09EE3A" w14:textId="41B3A9A5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8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A04F6F1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Pandhita BAW, Okwose NC, Koshy A, Fernández ÓG, Cruz NB,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44" w:history="1">
              <w:r w:rsidRPr="00F07FC5">
                <w:rPr>
                  <w:rStyle w:val="Hyperlink"/>
                  <w:lang w:eastAsia="en-GB"/>
                </w:rPr>
                <w:t>Noninvasive assessment of cardiac output in advanced heart failure and heart transplant candidates using the bioreactance method</w:t>
              </w:r>
            </w:hyperlink>
            <w:r w:rsidRPr="003E7328">
              <w:rPr>
                <w:lang w:eastAsia="en-GB"/>
              </w:rPr>
              <w:t xml:space="preserve">. J Cardiothorac Vasc Anesth. </w:t>
            </w:r>
            <w:r>
              <w:rPr>
                <w:lang w:eastAsia="en-GB"/>
              </w:rPr>
              <w:t>2021;35(6):</w:t>
            </w:r>
            <w:r>
              <w:rPr>
                <w:lang w:val="en-US" w:eastAsia="en-GB"/>
              </w:rPr>
              <w:t>1776-81</w:t>
            </w:r>
            <w:r w:rsidRPr="003E7328">
              <w:rPr>
                <w:lang w:eastAsia="en-GB"/>
              </w:rPr>
              <w:t xml:space="preserve"> </w:t>
            </w:r>
          </w:p>
        </w:tc>
        <w:tc>
          <w:tcPr>
            <w:tcW w:w="492" w:type="pct"/>
            <w:gridSpan w:val="2"/>
            <w:vAlign w:val="center"/>
          </w:tcPr>
          <w:p w14:paraId="2B826D85" w14:textId="77777777" w:rsidR="00B64BF9" w:rsidRPr="003E7328" w:rsidRDefault="00B64BF9" w:rsidP="00B64BF9">
            <w:pPr>
              <w:jc w:val="center"/>
            </w:pPr>
            <w:r w:rsidRPr="003E7328">
              <w:t>75/138 (2019)</w:t>
            </w:r>
          </w:p>
        </w:tc>
        <w:tc>
          <w:tcPr>
            <w:tcW w:w="409" w:type="pct"/>
            <w:gridSpan w:val="2"/>
            <w:vAlign w:val="center"/>
          </w:tcPr>
          <w:p w14:paraId="45B0456F" w14:textId="77777777" w:rsidR="00B64BF9" w:rsidRPr="003E7328" w:rsidRDefault="00B64BF9" w:rsidP="00B64BF9">
            <w:pPr>
              <w:jc w:val="center"/>
            </w:pPr>
            <w:r w:rsidRPr="003E7328">
              <w:t>22 (2019)</w:t>
            </w:r>
          </w:p>
        </w:tc>
        <w:tc>
          <w:tcPr>
            <w:tcW w:w="493" w:type="pct"/>
            <w:vAlign w:val="center"/>
          </w:tcPr>
          <w:p w14:paraId="16647D0E" w14:textId="77777777" w:rsidR="00B64BF9" w:rsidRPr="003E7328" w:rsidRDefault="00B64BF9" w:rsidP="00B64BF9">
            <w:pPr>
              <w:jc w:val="center"/>
            </w:pPr>
            <w:r w:rsidRPr="003E7328">
              <w:t>2.258 (2019)</w:t>
            </w:r>
          </w:p>
        </w:tc>
      </w:tr>
      <w:tr w:rsidR="00B64BF9" w:rsidRPr="00D8045D" w14:paraId="7C985D4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E32765C" w14:textId="5E57ECBB" w:rsidR="00B64BF9" w:rsidRPr="003E7328" w:rsidRDefault="00B64BF9" w:rsidP="00B64BF9">
            <w:pPr>
              <w:jc w:val="center"/>
            </w:pPr>
            <w:r w:rsidRPr="003E7328">
              <w:t>3</w:t>
            </w:r>
            <w:r>
              <w:t>9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0F371D3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Red</w:t>
            </w:r>
            <w:r>
              <w:rPr>
                <w:lang w:eastAsia="en-GB"/>
              </w:rPr>
              <w:t>ž</w:t>
            </w:r>
            <w:r w:rsidRPr="003E7328">
              <w:rPr>
                <w:lang w:eastAsia="en-GB"/>
              </w:rPr>
              <w:t>ek A, Preveden A, Kaloci SR, Samard</w:t>
            </w:r>
            <w:r>
              <w:rPr>
                <w:lang w:eastAsia="en-GB"/>
              </w:rPr>
              <w:t>ž</w:t>
            </w:r>
            <w:r w:rsidRPr="003E7328">
              <w:rPr>
                <w:lang w:eastAsia="en-GB"/>
              </w:rPr>
              <w:t xml:space="preserve">ija G, Preveden M,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45" w:history="1">
              <w:r w:rsidRPr="00F07FC5">
                <w:rPr>
                  <w:rStyle w:val="Hyperlink"/>
                  <w:lang w:eastAsia="en-GB"/>
                </w:rPr>
                <w:t>Unusual non-valvular left ventricular endocarditis presenting as multiple brain embolism</w:t>
              </w:r>
            </w:hyperlink>
            <w:r w:rsidRPr="003E7328">
              <w:rPr>
                <w:lang w:eastAsia="en-GB"/>
              </w:rPr>
              <w:t>. Acta Clin Belg. 2020 Jun 30:1-5.</w:t>
            </w:r>
          </w:p>
        </w:tc>
        <w:tc>
          <w:tcPr>
            <w:tcW w:w="492" w:type="pct"/>
            <w:gridSpan w:val="2"/>
            <w:vAlign w:val="center"/>
          </w:tcPr>
          <w:p w14:paraId="766293A6" w14:textId="77777777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24</w:t>
            </w:r>
            <w:r w:rsidRPr="003E7328">
              <w:t>/16</w:t>
            </w:r>
            <w:r>
              <w:t>9</w:t>
            </w:r>
            <w:r w:rsidRPr="003E7328">
              <w:t xml:space="preserve"> </w:t>
            </w:r>
          </w:p>
        </w:tc>
        <w:tc>
          <w:tcPr>
            <w:tcW w:w="409" w:type="pct"/>
            <w:gridSpan w:val="2"/>
            <w:vAlign w:val="center"/>
          </w:tcPr>
          <w:p w14:paraId="3EC74C01" w14:textId="77777777" w:rsidR="00B64BF9" w:rsidRPr="003E7328" w:rsidRDefault="00B64BF9" w:rsidP="00B64BF9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493" w:type="pct"/>
            <w:vAlign w:val="center"/>
          </w:tcPr>
          <w:p w14:paraId="7EBB9036" w14:textId="77777777" w:rsidR="00B64BF9" w:rsidRPr="003E7328" w:rsidRDefault="00B64BF9" w:rsidP="00B64BF9">
            <w:pPr>
              <w:jc w:val="center"/>
            </w:pPr>
            <w:r w:rsidRPr="003E7328">
              <w:t>1.</w:t>
            </w:r>
            <w:r>
              <w:t>264</w:t>
            </w:r>
          </w:p>
        </w:tc>
      </w:tr>
      <w:tr w:rsidR="00B64BF9" w:rsidRPr="000B7F6F" w14:paraId="452D6F9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C3E6758" w14:textId="3D30AB68" w:rsidR="00B64BF9" w:rsidRPr="003E7328" w:rsidRDefault="00B64BF9" w:rsidP="00B64BF9">
            <w:pPr>
              <w:jc w:val="center"/>
            </w:pPr>
            <w:r>
              <w:t>40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010F87FE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Vuckovi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J, Zdravkovi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R, Babovi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Stani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K, Majin M,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46" w:history="1">
              <w:r w:rsidRPr="003E7328">
                <w:rPr>
                  <w:rStyle w:val="Hyperlink"/>
                  <w:lang w:eastAsia="en-GB"/>
                </w:rPr>
                <w:t>Incidental detection of factor XII deficiency following coronary artery bypass grafting</w:t>
              </w:r>
            </w:hyperlink>
            <w:r w:rsidRPr="003E7328">
              <w:rPr>
                <w:lang w:eastAsia="en-GB"/>
              </w:rPr>
              <w:t>. J Cardiothorac Vasc Anesth. 2020;35(2):597-9.</w:t>
            </w:r>
          </w:p>
        </w:tc>
        <w:tc>
          <w:tcPr>
            <w:tcW w:w="492" w:type="pct"/>
            <w:gridSpan w:val="2"/>
            <w:vAlign w:val="center"/>
          </w:tcPr>
          <w:p w14:paraId="4BE0D9D7" w14:textId="77777777" w:rsidR="00B64BF9" w:rsidRPr="003E7328" w:rsidRDefault="00B64BF9" w:rsidP="00B64BF9">
            <w:pPr>
              <w:jc w:val="center"/>
            </w:pPr>
            <w:r w:rsidRPr="003E7328">
              <w:t>75/138 (2019)</w:t>
            </w:r>
          </w:p>
        </w:tc>
        <w:tc>
          <w:tcPr>
            <w:tcW w:w="409" w:type="pct"/>
            <w:gridSpan w:val="2"/>
            <w:vAlign w:val="center"/>
          </w:tcPr>
          <w:p w14:paraId="0C11DA49" w14:textId="77777777" w:rsidR="00B64BF9" w:rsidRPr="003E7328" w:rsidRDefault="00B64BF9" w:rsidP="00B64BF9">
            <w:pPr>
              <w:jc w:val="center"/>
            </w:pPr>
            <w:r w:rsidRPr="003E7328">
              <w:t>22 (2019)</w:t>
            </w:r>
          </w:p>
        </w:tc>
        <w:tc>
          <w:tcPr>
            <w:tcW w:w="493" w:type="pct"/>
            <w:vAlign w:val="center"/>
          </w:tcPr>
          <w:p w14:paraId="23EFE4E8" w14:textId="77777777" w:rsidR="00B64BF9" w:rsidRPr="003E7328" w:rsidRDefault="00B64BF9" w:rsidP="00B64BF9">
            <w:pPr>
              <w:jc w:val="center"/>
            </w:pPr>
            <w:r w:rsidRPr="003E7328">
              <w:t>2.258 (2019)</w:t>
            </w:r>
          </w:p>
        </w:tc>
      </w:tr>
      <w:tr w:rsidR="00B64BF9" w:rsidRPr="00D8045D" w14:paraId="02A2283A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B1E2554" w14:textId="3CC12BEA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1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4E8AF9EE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Karan JV, Milosavljevi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AM, Stani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KB,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47" w:history="1">
              <w:r w:rsidRPr="003E7328">
                <w:rPr>
                  <w:rStyle w:val="Hyperlink"/>
                  <w:lang w:eastAsia="en-GB"/>
                </w:rPr>
                <w:t>Giant left anterior descending artery aneurysm</w:t>
              </w:r>
            </w:hyperlink>
            <w:r w:rsidRPr="003E7328">
              <w:rPr>
                <w:lang w:eastAsia="en-GB"/>
              </w:rPr>
              <w:t xml:space="preserve">. </w:t>
            </w:r>
            <w:r w:rsidRPr="003E7328">
              <w:rPr>
                <w:shd w:val="clear" w:color="auto" w:fill="FFFFFF"/>
              </w:rPr>
              <w:t>Postepy Kardiol Interwencyjnej</w:t>
            </w:r>
            <w:r w:rsidRPr="003E7328">
              <w:rPr>
                <w:lang w:eastAsia="en-GB"/>
              </w:rPr>
              <w:t>. 2020;16(1):112-3.</w:t>
            </w:r>
          </w:p>
        </w:tc>
        <w:tc>
          <w:tcPr>
            <w:tcW w:w="492" w:type="pct"/>
            <w:gridSpan w:val="2"/>
            <w:vAlign w:val="center"/>
          </w:tcPr>
          <w:p w14:paraId="44A30763" w14:textId="77777777" w:rsidR="00B64BF9" w:rsidRPr="003E7328" w:rsidRDefault="00B64BF9" w:rsidP="00B64BF9">
            <w:pPr>
              <w:jc w:val="center"/>
            </w:pPr>
            <w:r w:rsidRPr="003E7328">
              <w:t>1</w:t>
            </w:r>
            <w:r>
              <w:t>24</w:t>
            </w:r>
            <w:r w:rsidRPr="003E7328">
              <w:t>/</w:t>
            </w:r>
            <w:r>
              <w:t>141</w:t>
            </w:r>
          </w:p>
        </w:tc>
        <w:tc>
          <w:tcPr>
            <w:tcW w:w="409" w:type="pct"/>
            <w:gridSpan w:val="2"/>
            <w:vAlign w:val="center"/>
          </w:tcPr>
          <w:p w14:paraId="3D5F3855" w14:textId="77777777" w:rsidR="00B64BF9" w:rsidRPr="003E7328" w:rsidRDefault="00B64BF9" w:rsidP="00B64BF9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493" w:type="pct"/>
            <w:vAlign w:val="center"/>
          </w:tcPr>
          <w:p w14:paraId="0900E6C7" w14:textId="77777777" w:rsidR="00B64BF9" w:rsidRPr="003E7328" w:rsidRDefault="00B64BF9" w:rsidP="00B64BF9">
            <w:pPr>
              <w:jc w:val="center"/>
            </w:pPr>
            <w:r>
              <w:t>1.620</w:t>
            </w:r>
          </w:p>
        </w:tc>
      </w:tr>
      <w:tr w:rsidR="00B64BF9" w:rsidRPr="00D8045D" w14:paraId="14B51EE7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1EDFAEF" w14:textId="7E4AD509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2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41C06FB4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>, Milosavljevi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AM, Sunti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M, Lazarevi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A. </w:t>
            </w:r>
            <w:hyperlink r:id="rId48" w:history="1">
              <w:r w:rsidRPr="003E7328">
                <w:rPr>
                  <w:rStyle w:val="Hyperlink"/>
                  <w:lang w:eastAsia="en-GB"/>
                </w:rPr>
                <w:t>Polymorphic presentation of an acute aortic syndrome.</w:t>
              </w:r>
            </w:hyperlink>
            <w:r w:rsidRPr="003E7328">
              <w:rPr>
                <w:lang w:eastAsia="en-GB"/>
              </w:rPr>
              <w:t xml:space="preserve"> J Card Surg. 2020;35(5):1110-1. </w:t>
            </w:r>
          </w:p>
        </w:tc>
        <w:tc>
          <w:tcPr>
            <w:tcW w:w="492" w:type="pct"/>
            <w:gridSpan w:val="2"/>
            <w:vAlign w:val="center"/>
          </w:tcPr>
          <w:p w14:paraId="0E8A24CF" w14:textId="77777777" w:rsidR="00B64BF9" w:rsidRPr="003E7328" w:rsidRDefault="00B64BF9" w:rsidP="00B64BF9">
            <w:pPr>
              <w:jc w:val="center"/>
            </w:pPr>
            <w:r w:rsidRPr="003E7328">
              <w:t>108/138 (2019)</w:t>
            </w:r>
          </w:p>
        </w:tc>
        <w:tc>
          <w:tcPr>
            <w:tcW w:w="409" w:type="pct"/>
            <w:gridSpan w:val="2"/>
            <w:vAlign w:val="center"/>
          </w:tcPr>
          <w:p w14:paraId="64B2D990" w14:textId="77777777" w:rsidR="00B64BF9" w:rsidRPr="003E7328" w:rsidRDefault="00B64BF9" w:rsidP="00B64BF9">
            <w:pPr>
              <w:jc w:val="center"/>
            </w:pPr>
            <w:r w:rsidRPr="003E7328">
              <w:t>23 (2019)</w:t>
            </w:r>
          </w:p>
        </w:tc>
        <w:tc>
          <w:tcPr>
            <w:tcW w:w="493" w:type="pct"/>
            <w:vAlign w:val="center"/>
          </w:tcPr>
          <w:p w14:paraId="3C514447" w14:textId="77777777" w:rsidR="00B64BF9" w:rsidRPr="003E7328" w:rsidRDefault="00B64BF9" w:rsidP="00B64BF9">
            <w:pPr>
              <w:jc w:val="center"/>
            </w:pPr>
            <w:r w:rsidRPr="003E7328">
              <w:t>1.490 (2019)</w:t>
            </w:r>
          </w:p>
        </w:tc>
      </w:tr>
      <w:tr w:rsidR="00B64BF9" w:rsidRPr="00D8045D" w14:paraId="18BEDA74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36F45DC" w14:textId="615A1F0D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ED7B667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shd w:val="clear" w:color="auto" w:fill="FFFFFF"/>
              </w:rPr>
              <w:t xml:space="preserve">Maron DJ, Hochman JS, Reynolds HR, Bangalore S, O'Brien SM, </w:t>
            </w:r>
            <w:r>
              <w:rPr>
                <w:shd w:val="clear" w:color="auto" w:fill="FFFFFF"/>
              </w:rPr>
              <w:t>et al</w:t>
            </w:r>
            <w:r w:rsidRPr="003E7328">
              <w:rPr>
                <w:shd w:val="clear" w:color="auto" w:fill="FFFFFF"/>
              </w:rPr>
              <w:t xml:space="preserve">; ISCHEMIA Research Group (including  </w:t>
            </w:r>
            <w:r w:rsidRPr="003E7328">
              <w:rPr>
                <w:b/>
                <w:shd w:val="clear" w:color="auto" w:fill="FFFFFF"/>
              </w:rPr>
              <w:t>Velicki L</w:t>
            </w:r>
            <w:r w:rsidRPr="003E7328">
              <w:rPr>
                <w:lang w:eastAsia="en-GB"/>
              </w:rPr>
              <w:t xml:space="preserve">). </w:t>
            </w:r>
            <w:hyperlink r:id="rId49" w:history="1">
              <w:r w:rsidRPr="003E7328">
                <w:rPr>
                  <w:rStyle w:val="Hyperlink"/>
                  <w:lang w:eastAsia="en-GB"/>
                </w:rPr>
                <w:t>Initial invasive or conservative strategy for stable coronary disease</w:t>
              </w:r>
            </w:hyperlink>
            <w:r w:rsidRPr="003E7328">
              <w:rPr>
                <w:lang w:eastAsia="en-GB"/>
              </w:rPr>
              <w:t xml:space="preserve">. N Engl J Med. 2020;382(15):1395-407. </w:t>
            </w:r>
          </w:p>
        </w:tc>
        <w:tc>
          <w:tcPr>
            <w:tcW w:w="492" w:type="pct"/>
            <w:gridSpan w:val="2"/>
            <w:vAlign w:val="center"/>
          </w:tcPr>
          <w:p w14:paraId="147D7113" w14:textId="77777777" w:rsidR="00B64BF9" w:rsidRPr="003E7328" w:rsidRDefault="00B64BF9" w:rsidP="00B64BF9">
            <w:pPr>
              <w:jc w:val="center"/>
            </w:pPr>
            <w:r w:rsidRPr="003E7328">
              <w:t>1/</w:t>
            </w:r>
            <w:r>
              <w:t>169</w:t>
            </w:r>
          </w:p>
        </w:tc>
        <w:tc>
          <w:tcPr>
            <w:tcW w:w="409" w:type="pct"/>
            <w:gridSpan w:val="2"/>
            <w:vAlign w:val="center"/>
          </w:tcPr>
          <w:p w14:paraId="2B67AFB5" w14:textId="77777777" w:rsidR="00B64BF9" w:rsidRPr="003E7328" w:rsidRDefault="00B64BF9" w:rsidP="00B64BF9">
            <w:pPr>
              <w:jc w:val="center"/>
            </w:pPr>
            <w:r w:rsidRPr="003E7328">
              <w:t xml:space="preserve">21a </w:t>
            </w:r>
          </w:p>
        </w:tc>
        <w:tc>
          <w:tcPr>
            <w:tcW w:w="493" w:type="pct"/>
            <w:vAlign w:val="center"/>
          </w:tcPr>
          <w:p w14:paraId="43CC895F" w14:textId="77777777" w:rsidR="00B64BF9" w:rsidRPr="003E7328" w:rsidRDefault="00B64BF9" w:rsidP="00B64BF9">
            <w:pPr>
              <w:jc w:val="center"/>
            </w:pPr>
            <w:r>
              <w:t>91.253</w:t>
            </w:r>
          </w:p>
        </w:tc>
      </w:tr>
      <w:tr w:rsidR="00B64BF9" w:rsidRPr="00D8045D" w14:paraId="14C4E26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CCF5EEB" w14:textId="3CBA6A1D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A7941D9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Spertus JA, Jones PG, Maron DJ, O'Brien SM, Reynolds HR, Rosenberg Y,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; ISCHEMIA Research Group </w:t>
            </w:r>
            <w:r w:rsidRPr="003E7328">
              <w:rPr>
                <w:shd w:val="clear" w:color="auto" w:fill="FFFFFF"/>
              </w:rPr>
              <w:t xml:space="preserve">(including  </w:t>
            </w:r>
            <w:r w:rsidRPr="003E7328">
              <w:rPr>
                <w:b/>
                <w:shd w:val="clear" w:color="auto" w:fill="FFFFFF"/>
              </w:rPr>
              <w:t>Velicki L</w:t>
            </w:r>
            <w:r w:rsidRPr="003E7328">
              <w:rPr>
                <w:lang w:eastAsia="en-GB"/>
              </w:rPr>
              <w:t xml:space="preserve">). </w:t>
            </w:r>
            <w:hyperlink r:id="rId50" w:history="1">
              <w:r w:rsidRPr="003E7328">
                <w:rPr>
                  <w:rStyle w:val="Hyperlink"/>
                  <w:lang w:eastAsia="en-GB"/>
                </w:rPr>
                <w:t>Health-status outcomes with invasive or conservative care in coronary disease</w:t>
              </w:r>
            </w:hyperlink>
            <w:r w:rsidRPr="003E7328">
              <w:rPr>
                <w:lang w:eastAsia="en-GB"/>
              </w:rPr>
              <w:t xml:space="preserve">. N Engl J Med. 2020;382(15):1408-19. </w:t>
            </w:r>
          </w:p>
        </w:tc>
        <w:tc>
          <w:tcPr>
            <w:tcW w:w="492" w:type="pct"/>
            <w:gridSpan w:val="2"/>
            <w:vAlign w:val="center"/>
          </w:tcPr>
          <w:p w14:paraId="48E01200" w14:textId="77777777" w:rsidR="00B64BF9" w:rsidRPr="003E7328" w:rsidRDefault="00B64BF9" w:rsidP="00B64BF9">
            <w:pPr>
              <w:jc w:val="center"/>
            </w:pPr>
            <w:r w:rsidRPr="003E7328">
              <w:t>1/</w:t>
            </w:r>
            <w:r>
              <w:t>169</w:t>
            </w:r>
          </w:p>
        </w:tc>
        <w:tc>
          <w:tcPr>
            <w:tcW w:w="409" w:type="pct"/>
            <w:gridSpan w:val="2"/>
            <w:vAlign w:val="center"/>
          </w:tcPr>
          <w:p w14:paraId="571F609E" w14:textId="77777777" w:rsidR="00B64BF9" w:rsidRPr="003E7328" w:rsidRDefault="00B64BF9" w:rsidP="00B64BF9">
            <w:pPr>
              <w:jc w:val="center"/>
            </w:pPr>
            <w:r w:rsidRPr="003E7328">
              <w:t xml:space="preserve">21a </w:t>
            </w:r>
          </w:p>
        </w:tc>
        <w:tc>
          <w:tcPr>
            <w:tcW w:w="493" w:type="pct"/>
            <w:vAlign w:val="center"/>
          </w:tcPr>
          <w:p w14:paraId="69CA6656" w14:textId="77777777" w:rsidR="00B64BF9" w:rsidRPr="003E7328" w:rsidRDefault="00B64BF9" w:rsidP="00B64BF9">
            <w:pPr>
              <w:jc w:val="center"/>
            </w:pPr>
            <w:r>
              <w:t>91.253</w:t>
            </w:r>
          </w:p>
        </w:tc>
      </w:tr>
      <w:tr w:rsidR="00B64BF9" w:rsidRPr="00D8045D" w14:paraId="47505FC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02DAE14" w14:textId="604C10BB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5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37C255C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Tafelmeier M, Baessler A, Wagner S, Unsoeld B, Preveden A,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51" w:history="1">
              <w:r w:rsidRPr="003E7328">
                <w:rPr>
                  <w:rStyle w:val="Hyperlink"/>
                  <w:lang w:eastAsia="en-GB"/>
                </w:rPr>
                <w:t>Design of the SILICOFCM study: effect of sacubitril/valsartan vs lifestyle intervention on functional capacity in patients with hypertrophic cardiomyopathy</w:t>
              </w:r>
            </w:hyperlink>
            <w:r w:rsidRPr="003E7328">
              <w:rPr>
                <w:lang w:eastAsia="en-GB"/>
              </w:rPr>
              <w:t>. Clin Cardiol. 2020;43(5):430-40.</w:t>
            </w:r>
          </w:p>
        </w:tc>
        <w:tc>
          <w:tcPr>
            <w:tcW w:w="492" w:type="pct"/>
            <w:gridSpan w:val="2"/>
            <w:vAlign w:val="center"/>
          </w:tcPr>
          <w:p w14:paraId="5CB20A12" w14:textId="77777777" w:rsidR="00B64BF9" w:rsidRPr="003E7328" w:rsidRDefault="00B64BF9" w:rsidP="00B64BF9">
            <w:pPr>
              <w:jc w:val="center"/>
            </w:pPr>
            <w:r w:rsidRPr="003E7328">
              <w:t>7</w:t>
            </w:r>
            <w:r>
              <w:t>8</w:t>
            </w:r>
            <w:r w:rsidRPr="003E7328">
              <w:t>/</w:t>
            </w:r>
            <w:r>
              <w:t>141</w:t>
            </w:r>
          </w:p>
        </w:tc>
        <w:tc>
          <w:tcPr>
            <w:tcW w:w="409" w:type="pct"/>
            <w:gridSpan w:val="2"/>
            <w:vAlign w:val="center"/>
          </w:tcPr>
          <w:p w14:paraId="3539319A" w14:textId="77777777" w:rsidR="00B64BF9" w:rsidRDefault="00B64BF9" w:rsidP="00B64BF9">
            <w:pPr>
              <w:jc w:val="center"/>
            </w:pPr>
          </w:p>
          <w:p w14:paraId="6E30AB59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  <w:p w14:paraId="5C2A5D55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604B6436" w14:textId="77777777" w:rsidR="00B64BF9" w:rsidRPr="003E7328" w:rsidRDefault="00B64BF9" w:rsidP="00B64BF9">
            <w:pPr>
              <w:jc w:val="center"/>
            </w:pPr>
            <w:r w:rsidRPr="003E7328">
              <w:t>2.</w:t>
            </w:r>
            <w:r>
              <w:t>882</w:t>
            </w:r>
          </w:p>
        </w:tc>
      </w:tr>
      <w:tr w:rsidR="00B64BF9" w:rsidRPr="00D8045D" w14:paraId="6E5556E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1765DC8" w14:textId="3E162B8F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6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64F8A65C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D'Ascenzo F, Biolè C, Raposeiras-Roubin S, Gaido F, Abu-Assi E, </w:t>
            </w:r>
            <w:r>
              <w:rPr>
                <w:lang w:eastAsia="en-GB"/>
              </w:rPr>
              <w:t>et al...</w:t>
            </w:r>
            <w:r>
              <w:rPr>
                <w:b/>
                <w:lang w:eastAsia="en-GB"/>
              </w:rPr>
              <w:t>V</w:t>
            </w:r>
            <w:r w:rsidRPr="003E7328">
              <w:rPr>
                <w:b/>
                <w:lang w:eastAsia="en-GB"/>
              </w:rPr>
              <w:t>elicki L</w:t>
            </w:r>
            <w:r w:rsidRPr="003E7328">
              <w:rPr>
                <w:lang w:eastAsia="en-GB"/>
              </w:rPr>
              <w:t xml:space="preserve">. </w:t>
            </w:r>
            <w:hyperlink r:id="rId52" w:history="1">
              <w:r w:rsidRPr="003E7328">
                <w:rPr>
                  <w:rStyle w:val="Hyperlink"/>
                  <w:lang w:eastAsia="en-GB"/>
                </w:rPr>
                <w:t>Average daily ischemic versus bleeding risk in patients with ACS undergoing PCI: insights from the BleeMACS and RENAMI registries</w:t>
              </w:r>
            </w:hyperlink>
            <w:r w:rsidRPr="003E7328">
              <w:rPr>
                <w:lang w:eastAsia="en-GB"/>
              </w:rPr>
              <w:t>. Am Heart J. 2020;220:108-15.</w:t>
            </w:r>
          </w:p>
        </w:tc>
        <w:tc>
          <w:tcPr>
            <w:tcW w:w="492" w:type="pct"/>
            <w:gridSpan w:val="2"/>
            <w:vAlign w:val="center"/>
          </w:tcPr>
          <w:p w14:paraId="3212F60F" w14:textId="77777777" w:rsidR="00B64BF9" w:rsidRPr="003E7328" w:rsidRDefault="00B64BF9" w:rsidP="00B64BF9">
            <w:pPr>
              <w:jc w:val="center"/>
            </w:pPr>
            <w:r w:rsidRPr="003E7328">
              <w:t>35/138 (2019)</w:t>
            </w:r>
          </w:p>
        </w:tc>
        <w:tc>
          <w:tcPr>
            <w:tcW w:w="409" w:type="pct"/>
            <w:gridSpan w:val="2"/>
            <w:vAlign w:val="center"/>
          </w:tcPr>
          <w:p w14:paraId="1C7660BD" w14:textId="77777777" w:rsidR="00B64BF9" w:rsidRPr="003E7328" w:rsidRDefault="00B64BF9" w:rsidP="00B64BF9">
            <w:pPr>
              <w:jc w:val="center"/>
            </w:pPr>
            <w:r w:rsidRPr="003E7328">
              <w:t>21 (2019)</w:t>
            </w:r>
          </w:p>
        </w:tc>
        <w:tc>
          <w:tcPr>
            <w:tcW w:w="493" w:type="pct"/>
            <w:vAlign w:val="center"/>
          </w:tcPr>
          <w:p w14:paraId="0469EA7C" w14:textId="77777777" w:rsidR="00B64BF9" w:rsidRPr="003E7328" w:rsidRDefault="00B64BF9" w:rsidP="00B64BF9">
            <w:pPr>
              <w:jc w:val="center"/>
            </w:pPr>
            <w:r w:rsidRPr="003E7328">
              <w:t>4.153 (2019)</w:t>
            </w:r>
          </w:p>
        </w:tc>
      </w:tr>
      <w:tr w:rsidR="00B64BF9" w:rsidRPr="00D8045D" w14:paraId="1955C00F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AF31303" w14:textId="3E279260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7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3A2D3E1F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Bianco M, D'ascenzo F, Raposeiras Roubin S, Kinnaird T, Peyracchia M,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53" w:history="1">
              <w:r w:rsidRPr="003E7328">
                <w:rPr>
                  <w:rStyle w:val="Hyperlink"/>
                  <w:lang w:eastAsia="en-GB"/>
                </w:rPr>
                <w:t>Comparative external validation of the PRECISE-DAPT and PARIS risk scores in 4424 acute coronary syndrome patients treated with prasugrel or ticagrelor</w:t>
              </w:r>
            </w:hyperlink>
            <w:r w:rsidRPr="003E7328">
              <w:rPr>
                <w:lang w:eastAsia="en-GB"/>
              </w:rPr>
              <w:t xml:space="preserve">. Int J Cardiol. 2020;301:200-6. </w:t>
            </w:r>
          </w:p>
        </w:tc>
        <w:tc>
          <w:tcPr>
            <w:tcW w:w="492" w:type="pct"/>
            <w:gridSpan w:val="2"/>
            <w:vAlign w:val="center"/>
          </w:tcPr>
          <w:p w14:paraId="74B4F18B" w14:textId="77777777" w:rsidR="00B64BF9" w:rsidRPr="003E7328" w:rsidRDefault="00B64BF9" w:rsidP="00B64BF9">
            <w:pPr>
              <w:jc w:val="center"/>
            </w:pPr>
            <w:r w:rsidRPr="003E7328">
              <w:t>5</w:t>
            </w:r>
            <w:r>
              <w:t>6</w:t>
            </w:r>
            <w:r w:rsidRPr="003E7328">
              <w:t>/</w:t>
            </w:r>
            <w:r>
              <w:t>141</w:t>
            </w:r>
          </w:p>
        </w:tc>
        <w:tc>
          <w:tcPr>
            <w:tcW w:w="409" w:type="pct"/>
            <w:gridSpan w:val="2"/>
            <w:vAlign w:val="center"/>
          </w:tcPr>
          <w:p w14:paraId="5CA349DF" w14:textId="77777777" w:rsidR="00B64BF9" w:rsidRPr="003E7328" w:rsidRDefault="00B64BF9" w:rsidP="00B64BF9">
            <w:pPr>
              <w:jc w:val="center"/>
            </w:pPr>
            <w:r w:rsidRPr="003E7328">
              <w:t xml:space="preserve">22 </w:t>
            </w:r>
          </w:p>
        </w:tc>
        <w:tc>
          <w:tcPr>
            <w:tcW w:w="493" w:type="pct"/>
            <w:vAlign w:val="center"/>
          </w:tcPr>
          <w:p w14:paraId="7F55CAE5" w14:textId="77777777" w:rsidR="00B64BF9" w:rsidRPr="003E7328" w:rsidRDefault="00B64BF9" w:rsidP="00B64BF9">
            <w:pPr>
              <w:jc w:val="center"/>
            </w:pPr>
            <w:r>
              <w:t>4.164</w:t>
            </w:r>
          </w:p>
        </w:tc>
      </w:tr>
      <w:tr w:rsidR="00B64BF9" w:rsidRPr="00D8045D" w14:paraId="371F7737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9B5C583" w14:textId="71212887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8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1D66DFB3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Peyracchia M, Saglietto A, Biolè C, Raposeiras-Roubin S, Abu-Assi E</w:t>
            </w:r>
            <w:r>
              <w:rPr>
                <w:lang w:eastAsia="en-GB"/>
              </w:rPr>
              <w:t>et al...</w:t>
            </w:r>
            <w:r w:rsidRPr="003E7328">
              <w:rPr>
                <w:lang w:eastAsia="en-GB"/>
              </w:rPr>
              <w:t xml:space="preserve">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54" w:history="1">
              <w:r w:rsidRPr="003E7328">
                <w:rPr>
                  <w:rStyle w:val="Hyperlink"/>
                  <w:lang w:eastAsia="en-GB"/>
                </w:rPr>
                <w:t>Efficacy and safety of clopidogrel, prasugrel and ticagrelor in ACS patients treated with PCI: a propensity score analysis of the RENAMI and BleeMACS Registries</w:t>
              </w:r>
            </w:hyperlink>
            <w:r w:rsidRPr="003E7328">
              <w:rPr>
                <w:lang w:eastAsia="en-GB"/>
              </w:rPr>
              <w:t xml:space="preserve">. Am J Cardiovasc Drugs. 2020;20(3):259-69. </w:t>
            </w:r>
          </w:p>
        </w:tc>
        <w:tc>
          <w:tcPr>
            <w:tcW w:w="492" w:type="pct"/>
            <w:gridSpan w:val="2"/>
            <w:vAlign w:val="center"/>
          </w:tcPr>
          <w:p w14:paraId="0EA096D8" w14:textId="77777777" w:rsidR="00B64BF9" w:rsidRPr="003E7328" w:rsidRDefault="00B64BF9" w:rsidP="00B64BF9">
            <w:pPr>
              <w:jc w:val="center"/>
            </w:pPr>
            <w:r w:rsidRPr="003E7328">
              <w:t>6</w:t>
            </w:r>
            <w:r>
              <w:t>2</w:t>
            </w:r>
            <w:r w:rsidRPr="003E7328">
              <w:t>/</w:t>
            </w:r>
            <w:r>
              <w:t>141</w:t>
            </w:r>
          </w:p>
        </w:tc>
        <w:tc>
          <w:tcPr>
            <w:tcW w:w="409" w:type="pct"/>
            <w:gridSpan w:val="2"/>
            <w:vAlign w:val="center"/>
          </w:tcPr>
          <w:p w14:paraId="41C79484" w14:textId="77777777" w:rsidR="00B64BF9" w:rsidRPr="003E7328" w:rsidRDefault="00B64BF9" w:rsidP="00B64BF9">
            <w:pPr>
              <w:jc w:val="center"/>
            </w:pPr>
            <w:r w:rsidRPr="003E7328">
              <w:t xml:space="preserve">22 </w:t>
            </w:r>
          </w:p>
        </w:tc>
        <w:tc>
          <w:tcPr>
            <w:tcW w:w="493" w:type="pct"/>
            <w:vAlign w:val="center"/>
          </w:tcPr>
          <w:p w14:paraId="209960B3" w14:textId="77777777" w:rsidR="00B64BF9" w:rsidRPr="003E7328" w:rsidRDefault="00B64BF9" w:rsidP="00B64BF9">
            <w:pPr>
              <w:jc w:val="center"/>
            </w:pPr>
            <w:r>
              <w:t>3.571</w:t>
            </w:r>
          </w:p>
        </w:tc>
      </w:tr>
      <w:tr w:rsidR="00B64BF9" w:rsidRPr="00D8045D" w14:paraId="55453D49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D2D37B2" w14:textId="0A5E5AEE" w:rsidR="00B64BF9" w:rsidRPr="003E7328" w:rsidRDefault="00B64BF9" w:rsidP="00B64BF9">
            <w:pPr>
              <w:jc w:val="center"/>
            </w:pPr>
            <w:r w:rsidRPr="003E7328">
              <w:t>4</w:t>
            </w:r>
            <w:r>
              <w:t>9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ABE82C7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De Filippo O, D'Ascenzo F, Raposeiras-Roubin S, Abu-Assi E, Peyracchia M, </w:t>
            </w:r>
            <w:r>
              <w:rPr>
                <w:lang w:eastAsia="en-GB"/>
              </w:rPr>
              <w:t>et al...</w:t>
            </w:r>
            <w:r w:rsidRPr="003E7328">
              <w:rPr>
                <w:lang w:eastAsia="en-GB"/>
              </w:rPr>
              <w:t xml:space="preserve">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55" w:history="1">
              <w:r w:rsidRPr="003E7328">
                <w:rPr>
                  <w:rStyle w:val="Hyperlink"/>
                  <w:lang w:eastAsia="en-GB"/>
                </w:rPr>
                <w:t>P2Y12 inhibitors in acute coronary syndrome patients with renal dysfunction: an analysis from the RENAMI and BleeMACS projects</w:t>
              </w:r>
            </w:hyperlink>
            <w:r w:rsidRPr="003E7328">
              <w:rPr>
                <w:lang w:eastAsia="en-GB"/>
              </w:rPr>
              <w:t xml:space="preserve">. Eur Heart J Cardiovasc Pharmacother. 2020;6(1):31-42. </w:t>
            </w:r>
          </w:p>
        </w:tc>
        <w:tc>
          <w:tcPr>
            <w:tcW w:w="492" w:type="pct"/>
            <w:gridSpan w:val="2"/>
            <w:vAlign w:val="center"/>
          </w:tcPr>
          <w:p w14:paraId="59ABE156" w14:textId="77777777" w:rsidR="00B64BF9" w:rsidRPr="003E7328" w:rsidRDefault="00B64BF9" w:rsidP="00B64BF9">
            <w:pPr>
              <w:jc w:val="center"/>
            </w:pPr>
            <w:r>
              <w:t>23/275</w:t>
            </w:r>
          </w:p>
        </w:tc>
        <w:tc>
          <w:tcPr>
            <w:tcW w:w="409" w:type="pct"/>
            <w:gridSpan w:val="2"/>
            <w:vAlign w:val="center"/>
          </w:tcPr>
          <w:p w14:paraId="31F0804D" w14:textId="77777777" w:rsidR="00B64BF9" w:rsidRPr="003E7328" w:rsidRDefault="00B64BF9" w:rsidP="00B64BF9">
            <w:pPr>
              <w:jc w:val="center"/>
            </w:pPr>
            <w:r w:rsidRPr="003E7328">
              <w:t xml:space="preserve">21a </w:t>
            </w:r>
          </w:p>
        </w:tc>
        <w:tc>
          <w:tcPr>
            <w:tcW w:w="493" w:type="pct"/>
            <w:vAlign w:val="center"/>
          </w:tcPr>
          <w:p w14:paraId="7276DE90" w14:textId="77777777" w:rsidR="00B64BF9" w:rsidRPr="003E7328" w:rsidRDefault="00B64BF9" w:rsidP="00B64BF9">
            <w:pPr>
              <w:jc w:val="center"/>
            </w:pPr>
            <w:r>
              <w:t>6.617</w:t>
            </w:r>
          </w:p>
        </w:tc>
      </w:tr>
      <w:tr w:rsidR="00B64BF9" w:rsidRPr="00D8045D" w14:paraId="1FB4C4D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C4D06D7" w14:textId="1F84A180" w:rsidR="00B64BF9" w:rsidRPr="003E7328" w:rsidRDefault="00B64BF9" w:rsidP="00B64BF9">
            <w:pPr>
              <w:jc w:val="center"/>
            </w:pPr>
            <w:r>
              <w:t>50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120C4079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Habib G, Erba PA, Iung B, Donal E, Cosyns B, Laroche C,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; EURO-ENDO Investigators (including 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). </w:t>
            </w:r>
            <w:hyperlink r:id="rId56" w:history="1">
              <w:r w:rsidRPr="003E7328">
                <w:rPr>
                  <w:rStyle w:val="Hyperlink"/>
                  <w:lang w:eastAsia="en-GB"/>
                </w:rPr>
                <w:t>Clinical presentation, aetiology and outcome of infective endocarditis. Results of the ESC-EORP EURO-ENDO (European infective endocarditis) registry: a prospective cohort study</w:t>
              </w:r>
            </w:hyperlink>
            <w:r w:rsidRPr="003E7328">
              <w:rPr>
                <w:lang w:eastAsia="en-GB"/>
              </w:rPr>
              <w:t xml:space="preserve">. Eur Heart J. 2019;40(39):3222-32. </w:t>
            </w:r>
          </w:p>
        </w:tc>
        <w:tc>
          <w:tcPr>
            <w:tcW w:w="492" w:type="pct"/>
            <w:gridSpan w:val="2"/>
            <w:vAlign w:val="center"/>
          </w:tcPr>
          <w:p w14:paraId="7B1217AD" w14:textId="77777777" w:rsidR="00B64BF9" w:rsidRPr="003E7328" w:rsidRDefault="00B64BF9" w:rsidP="00B64BF9">
            <w:pPr>
              <w:jc w:val="center"/>
            </w:pPr>
            <w:r w:rsidRPr="003E7328">
              <w:t xml:space="preserve">2/138 </w:t>
            </w:r>
          </w:p>
        </w:tc>
        <w:tc>
          <w:tcPr>
            <w:tcW w:w="409" w:type="pct"/>
            <w:gridSpan w:val="2"/>
            <w:vAlign w:val="center"/>
          </w:tcPr>
          <w:p w14:paraId="0023511F" w14:textId="77777777" w:rsidR="00B64BF9" w:rsidRPr="003E7328" w:rsidRDefault="00B64BF9" w:rsidP="00B64BF9">
            <w:pPr>
              <w:jc w:val="center"/>
            </w:pPr>
            <w:r w:rsidRPr="003E7328">
              <w:t xml:space="preserve">21a </w:t>
            </w:r>
          </w:p>
        </w:tc>
        <w:tc>
          <w:tcPr>
            <w:tcW w:w="493" w:type="pct"/>
            <w:vAlign w:val="center"/>
          </w:tcPr>
          <w:p w14:paraId="65EBBCBE" w14:textId="77777777" w:rsidR="00B64BF9" w:rsidRPr="003E7328" w:rsidRDefault="00B64BF9" w:rsidP="00B64BF9">
            <w:pPr>
              <w:jc w:val="center"/>
            </w:pPr>
            <w:r w:rsidRPr="003E7328">
              <w:t xml:space="preserve">22.673 </w:t>
            </w:r>
          </w:p>
        </w:tc>
      </w:tr>
      <w:tr w:rsidR="00B64BF9" w:rsidRPr="00D8045D" w14:paraId="4E3EF22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4F0C2C6" w14:textId="7BD2FB7A" w:rsidR="00B64BF9" w:rsidRPr="003E7328" w:rsidRDefault="00B64BF9" w:rsidP="00B64BF9">
            <w:pPr>
              <w:jc w:val="center"/>
            </w:pPr>
            <w:r w:rsidRPr="003E7328">
              <w:t>5</w:t>
            </w:r>
            <w:r>
              <w:t>1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36D0F21" w14:textId="77777777" w:rsidR="00B64BF9" w:rsidRPr="003E7328" w:rsidRDefault="00B64BF9" w:rsidP="00B64BF9">
            <w:pPr>
              <w:jc w:val="both"/>
            </w:pPr>
            <w:r w:rsidRPr="003E7328">
              <w:t>D'Ascenzo F, Bertaina M, Fioravanti F, Bongiovanni F, R</w:t>
            </w:r>
            <w:r>
              <w:t>aposeiras-Roubin S, et al...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57" w:history="1">
              <w:r w:rsidRPr="003E7328">
                <w:rPr>
                  <w:rStyle w:val="Hyperlink"/>
                </w:rPr>
                <w:t>Long versus short dual antiplatelet therapy in acute coronary syndrome patients treated with prasugrel or ticagrelor and coronary revascularization: Insights from the RENAMI registry</w:t>
              </w:r>
            </w:hyperlink>
            <w:r w:rsidRPr="003E7328">
              <w:t>. Eur J Prev Cardiol. 2020;27(7):696-705.</w:t>
            </w:r>
          </w:p>
        </w:tc>
        <w:tc>
          <w:tcPr>
            <w:tcW w:w="492" w:type="pct"/>
            <w:gridSpan w:val="2"/>
            <w:vAlign w:val="center"/>
          </w:tcPr>
          <w:p w14:paraId="19EA3FBB" w14:textId="77777777" w:rsidR="00B64BF9" w:rsidRPr="003E7328" w:rsidRDefault="00B64BF9" w:rsidP="00B64BF9">
            <w:pPr>
              <w:jc w:val="center"/>
            </w:pPr>
            <w:r w:rsidRPr="003E7328">
              <w:t>22/136</w:t>
            </w:r>
          </w:p>
          <w:p w14:paraId="4A9B9B23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4E9B5C04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  <w:p w14:paraId="3925D82D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7BE2FE33" w14:textId="77777777" w:rsidR="00B64BF9" w:rsidRPr="003E7328" w:rsidRDefault="00B64BF9" w:rsidP="00B64BF9">
            <w:pPr>
              <w:jc w:val="center"/>
            </w:pPr>
            <w:r w:rsidRPr="003E7328">
              <w:t>5.640 (2018)</w:t>
            </w:r>
          </w:p>
        </w:tc>
      </w:tr>
      <w:tr w:rsidR="00B64BF9" w:rsidRPr="00D8045D" w14:paraId="0FA9B99D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FDC6CF3" w14:textId="5C46744A" w:rsidR="00B64BF9" w:rsidRPr="003E7328" w:rsidRDefault="00B64BF9" w:rsidP="00B64BF9">
            <w:pPr>
              <w:jc w:val="center"/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2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64C9B9E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 xml:space="preserve">Conrotto F, Bertaina M, Raposeiras-Roubin S, Kinnaird T, Ariza-Solé A, </w:t>
            </w:r>
            <w:r>
              <w:rPr>
                <w:lang w:eastAsia="en-GB"/>
              </w:rPr>
              <w:t>et al...</w:t>
            </w:r>
            <w:r w:rsidRPr="003E7328">
              <w:rPr>
                <w:b/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58" w:history="1">
              <w:r w:rsidRPr="00F07FC5">
                <w:rPr>
                  <w:rStyle w:val="Hyperlink"/>
                  <w:lang w:eastAsia="en-GB"/>
                </w:rPr>
                <w:t>Prasugrel or ticagrelor in patients with acute coronary syndrome and diabetes: a propensity matched substudy of RENAMI</w:t>
              </w:r>
            </w:hyperlink>
            <w:r w:rsidRPr="003E7328">
              <w:rPr>
                <w:lang w:eastAsia="en-GB"/>
              </w:rPr>
              <w:t xml:space="preserve">. Eur Heart J Acute Cardiovasc Care. 2019 Sep;8(6):536-542. </w:t>
            </w:r>
          </w:p>
        </w:tc>
        <w:tc>
          <w:tcPr>
            <w:tcW w:w="492" w:type="pct"/>
            <w:gridSpan w:val="2"/>
            <w:vAlign w:val="center"/>
          </w:tcPr>
          <w:p w14:paraId="63FAC11B" w14:textId="77777777" w:rsidR="00B64BF9" w:rsidRPr="003E7328" w:rsidRDefault="00B64BF9" w:rsidP="00B64BF9">
            <w:pPr>
              <w:jc w:val="center"/>
            </w:pPr>
            <w:r w:rsidRPr="003E7328">
              <w:t xml:space="preserve">47/138 </w:t>
            </w:r>
          </w:p>
        </w:tc>
        <w:tc>
          <w:tcPr>
            <w:tcW w:w="409" w:type="pct"/>
            <w:gridSpan w:val="2"/>
            <w:vAlign w:val="center"/>
          </w:tcPr>
          <w:p w14:paraId="25CF184E" w14:textId="77777777" w:rsidR="00B64BF9" w:rsidRPr="003E7328" w:rsidRDefault="00B64BF9" w:rsidP="00B64BF9">
            <w:pPr>
              <w:jc w:val="center"/>
            </w:pPr>
            <w:r w:rsidRPr="003E7328">
              <w:t xml:space="preserve">22 </w:t>
            </w:r>
          </w:p>
        </w:tc>
        <w:tc>
          <w:tcPr>
            <w:tcW w:w="493" w:type="pct"/>
            <w:vAlign w:val="center"/>
          </w:tcPr>
          <w:p w14:paraId="14E4269B" w14:textId="77777777" w:rsidR="00B64BF9" w:rsidRPr="003E7328" w:rsidRDefault="00B64BF9" w:rsidP="00B64BF9">
            <w:pPr>
              <w:jc w:val="center"/>
            </w:pPr>
            <w:r w:rsidRPr="003E7328">
              <w:t xml:space="preserve">3.813 </w:t>
            </w:r>
          </w:p>
        </w:tc>
      </w:tr>
      <w:tr w:rsidR="00B64BF9" w:rsidRPr="00D8045D" w14:paraId="623A24EF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D428370" w14:textId="043BE5B3" w:rsidR="00B64BF9" w:rsidRPr="003E7328" w:rsidRDefault="00B64BF9" w:rsidP="00B64BF9">
            <w:pPr>
              <w:jc w:val="center"/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3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7BB963DC" w14:textId="77777777" w:rsidR="00B64BF9" w:rsidRPr="003E7328" w:rsidRDefault="00B64BF9" w:rsidP="00B6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en-GB"/>
              </w:rPr>
            </w:pPr>
            <w:r w:rsidRPr="003E7328">
              <w:rPr>
                <w:color w:val="000000"/>
                <w:lang w:eastAsia="en-GB"/>
              </w:rPr>
              <w:t xml:space="preserve">Leventić H, Babin D, </w:t>
            </w:r>
            <w:r w:rsidRPr="003E7328">
              <w:rPr>
                <w:b/>
                <w:color w:val="000000"/>
                <w:lang w:eastAsia="en-GB"/>
              </w:rPr>
              <w:t>Velicki L</w:t>
            </w:r>
            <w:r w:rsidRPr="003E7328">
              <w:rPr>
                <w:color w:val="000000"/>
                <w:lang w:eastAsia="en-GB"/>
              </w:rPr>
              <w:t xml:space="preserve">, Devos D, Galić I, Zlokolica V, </w:t>
            </w:r>
            <w:r>
              <w:rPr>
                <w:color w:val="000000"/>
                <w:lang w:eastAsia="en-GB"/>
              </w:rPr>
              <w:t>et al</w:t>
            </w:r>
            <w:r w:rsidRPr="003E7328">
              <w:rPr>
                <w:color w:val="000000"/>
                <w:lang w:eastAsia="en-GB"/>
              </w:rPr>
              <w:t xml:space="preserve">. </w:t>
            </w:r>
            <w:hyperlink r:id="rId59" w:history="1">
              <w:r w:rsidRPr="003E7328">
                <w:rPr>
                  <w:rStyle w:val="Hyperlink"/>
                  <w:lang w:eastAsia="en-GB"/>
                </w:rPr>
                <w:t>Left atrial appendage segmentation from 3D CCTA images for occluder placement procedure</w:t>
              </w:r>
            </w:hyperlink>
            <w:r w:rsidRPr="003E7328">
              <w:rPr>
                <w:color w:val="000000"/>
                <w:lang w:eastAsia="en-GB"/>
              </w:rPr>
              <w:t>. Comput Biol Med. 2019 Jan;104:163-174.</w:t>
            </w:r>
          </w:p>
        </w:tc>
        <w:tc>
          <w:tcPr>
            <w:tcW w:w="492" w:type="pct"/>
            <w:gridSpan w:val="2"/>
            <w:vAlign w:val="center"/>
          </w:tcPr>
          <w:p w14:paraId="1238D8A6" w14:textId="77777777" w:rsidR="00B64BF9" w:rsidRPr="003E7328" w:rsidRDefault="00B64BF9" w:rsidP="00B64BF9">
            <w:pPr>
              <w:jc w:val="center"/>
            </w:pPr>
            <w:r w:rsidRPr="003E7328">
              <w:t>27/87</w:t>
            </w:r>
          </w:p>
          <w:p w14:paraId="29DC172C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7B71B5AB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  <w:p w14:paraId="54535449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1BD55568" w14:textId="77777777" w:rsidR="00B64BF9" w:rsidRPr="003E7328" w:rsidRDefault="00B64BF9" w:rsidP="00B64BF9">
            <w:pPr>
              <w:jc w:val="center"/>
            </w:pPr>
            <w:r w:rsidRPr="003E7328">
              <w:t>2.286 (2018)</w:t>
            </w:r>
          </w:p>
        </w:tc>
      </w:tr>
      <w:tr w:rsidR="00B64BF9" w:rsidRPr="00D8045D" w14:paraId="34883BFE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BA7E0D4" w14:textId="3E8B699C" w:rsidR="00B64BF9" w:rsidRPr="003E7328" w:rsidRDefault="00B64BF9" w:rsidP="00B64BF9">
            <w:pPr>
              <w:jc w:val="center"/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4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22691676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Petrovi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Jakrakovi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>ankovi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Srdanovi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I, Kova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>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</w:t>
            </w:r>
            <w:r>
              <w:rPr>
                <w:lang w:val="en-US"/>
              </w:rPr>
              <w:t>et al…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60" w:history="1">
              <w:r w:rsidRPr="003E7328">
                <w:rPr>
                  <w:rStyle w:val="Hyperlink"/>
                  <w:lang w:val="en-US"/>
                </w:rPr>
                <w:t>Complete percutaneous myocardial revascularization in patients with STEMI complicated by cardiogenic shock</w:t>
              </w:r>
            </w:hyperlink>
            <w:r w:rsidRPr="003E7328">
              <w:rPr>
                <w:lang w:val="en-US"/>
              </w:rPr>
              <w:t>. Vojnosanit Pregl. 2019;76(2):152-60.</w:t>
            </w:r>
          </w:p>
        </w:tc>
        <w:tc>
          <w:tcPr>
            <w:tcW w:w="492" w:type="pct"/>
            <w:gridSpan w:val="2"/>
            <w:vAlign w:val="center"/>
          </w:tcPr>
          <w:p w14:paraId="348F60A5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155/160</w:t>
            </w:r>
          </w:p>
          <w:p w14:paraId="7B7B611F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4749D188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23</w:t>
            </w:r>
          </w:p>
          <w:p w14:paraId="75F81E34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(2018)</w:t>
            </w:r>
          </w:p>
        </w:tc>
        <w:tc>
          <w:tcPr>
            <w:tcW w:w="493" w:type="pct"/>
            <w:vAlign w:val="center"/>
          </w:tcPr>
          <w:p w14:paraId="4AAB9BE3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 xml:space="preserve">0.272 </w:t>
            </w:r>
            <w:r w:rsidRPr="003E7328">
              <w:lastRenderedPageBreak/>
              <w:t>(2018)</w:t>
            </w:r>
          </w:p>
        </w:tc>
      </w:tr>
      <w:tr w:rsidR="00B64BF9" w:rsidRPr="00D8045D" w14:paraId="38E03EF7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97241A8" w14:textId="37898EA2" w:rsidR="00B64BF9" w:rsidRPr="003E7328" w:rsidRDefault="00B64BF9" w:rsidP="00B64BF9">
            <w:pPr>
              <w:jc w:val="center"/>
            </w:pPr>
            <w:r w:rsidRPr="003E7328">
              <w:rPr>
                <w:lang w:val="en-US"/>
              </w:rPr>
              <w:lastRenderedPageBreak/>
              <w:t>5</w:t>
            </w:r>
            <w:r>
              <w:rPr>
                <w:lang w:val="en-US"/>
              </w:rPr>
              <w:t>5</w:t>
            </w:r>
            <w:r w:rsidRPr="003E7328">
              <w:t>.</w:t>
            </w:r>
          </w:p>
        </w:tc>
        <w:tc>
          <w:tcPr>
            <w:tcW w:w="3360" w:type="pct"/>
            <w:gridSpan w:val="7"/>
          </w:tcPr>
          <w:p w14:paraId="5F4DC7AF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 xml:space="preserve">De Filippo O, Cortese M, D Ascenzo F, Raposeiras-Roubin S, Abu-Assi E, </w:t>
            </w:r>
            <w:r>
              <w:rPr>
                <w:lang w:val="en-US"/>
              </w:rPr>
              <w:t>e al…</w:t>
            </w:r>
            <w:r w:rsidRPr="00B01B32">
              <w:rPr>
                <w:b/>
                <w:lang w:val="en-US"/>
              </w:rPr>
              <w:t>V</w:t>
            </w:r>
            <w:r w:rsidRPr="003E7328">
              <w:rPr>
                <w:b/>
                <w:lang w:val="en-US"/>
              </w:rPr>
              <w:t>elicki L</w:t>
            </w:r>
            <w:r w:rsidRPr="003E7328">
              <w:rPr>
                <w:lang w:val="en-US"/>
              </w:rPr>
              <w:t>. Real-world data of prasugrel vs. ticagrelor in acute myocardial infarction: results from the RENAMI Registry. Am J Cardiovasc Drugs. 2019 Aug;19(4):381-91.</w:t>
            </w:r>
          </w:p>
        </w:tc>
        <w:tc>
          <w:tcPr>
            <w:tcW w:w="492" w:type="pct"/>
            <w:gridSpan w:val="2"/>
            <w:vAlign w:val="center"/>
          </w:tcPr>
          <w:p w14:paraId="45F275DE" w14:textId="77777777" w:rsidR="00B64BF9" w:rsidRPr="003E7328" w:rsidRDefault="00B64BF9" w:rsidP="00B64BF9">
            <w:pPr>
              <w:jc w:val="center"/>
            </w:pPr>
            <w:r w:rsidRPr="003E7328">
              <w:t>62/136</w:t>
            </w:r>
          </w:p>
          <w:p w14:paraId="01A091B4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080267E2" w14:textId="77777777" w:rsidR="00B64BF9" w:rsidRPr="003E7328" w:rsidRDefault="00B64BF9" w:rsidP="00B64BF9">
            <w:r>
              <w:t xml:space="preserve">   </w:t>
            </w:r>
            <w:r w:rsidRPr="003E7328">
              <w:t>22</w:t>
            </w:r>
          </w:p>
          <w:p w14:paraId="5F57F323" w14:textId="77777777" w:rsidR="00B64BF9" w:rsidRPr="003E7328" w:rsidRDefault="00B64BF9" w:rsidP="00B64BF9"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4C17673C" w14:textId="77777777" w:rsidR="00B64BF9" w:rsidRPr="003E7328" w:rsidRDefault="00B64BF9" w:rsidP="00B64BF9">
            <w:pPr>
              <w:jc w:val="center"/>
            </w:pPr>
            <w:r w:rsidRPr="003E7328">
              <w:t>2.578 (2018)</w:t>
            </w:r>
          </w:p>
        </w:tc>
      </w:tr>
      <w:tr w:rsidR="00B64BF9" w:rsidRPr="00D8045D" w14:paraId="63AAD32C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DDC5F3A" w14:textId="1337ED20" w:rsidR="00B64BF9" w:rsidRPr="003E7328" w:rsidRDefault="00B64BF9" w:rsidP="00B64BF9">
            <w:pPr>
              <w:jc w:val="center"/>
              <w:rPr>
                <w:lang w:val="en-US"/>
              </w:rPr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6</w:t>
            </w:r>
            <w:r w:rsidRPr="003E7328">
              <w:rPr>
                <w:lang w:val="en-US"/>
              </w:rPr>
              <w:t>.</w:t>
            </w:r>
          </w:p>
        </w:tc>
        <w:tc>
          <w:tcPr>
            <w:tcW w:w="3360" w:type="pct"/>
            <w:gridSpan w:val="7"/>
          </w:tcPr>
          <w:p w14:paraId="5A3DF136" w14:textId="77777777" w:rsidR="00B64BF9" w:rsidRPr="003E7328" w:rsidRDefault="00B64BF9" w:rsidP="00B64BF9">
            <w:pPr>
              <w:jc w:val="both"/>
            </w:pPr>
            <w:r w:rsidRPr="003E7328">
              <w:t xml:space="preserve">Raposeiras-Roubín S, Caneiro Queija B, D'Ascenzo F, Kinnaird T, Ariza-Solé A, </w:t>
            </w:r>
          </w:p>
          <w:p w14:paraId="155B86DA" w14:textId="77777777" w:rsidR="00B64BF9" w:rsidRPr="003E7328" w:rsidRDefault="00B64BF9" w:rsidP="00B64BF9">
            <w:pPr>
              <w:jc w:val="both"/>
            </w:pPr>
            <w:r>
              <w:t>Et al...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61" w:history="1">
              <w:r w:rsidRPr="003E7328">
                <w:rPr>
                  <w:rStyle w:val="Hyperlink"/>
                </w:rPr>
                <w:t>Usefulness of the PARIS Score to evaluate the ischemic-hemorrhagic net benefit with ticagrelor and prasugrel after an acute coronary syndrome</w:t>
              </w:r>
            </w:hyperlink>
            <w:r w:rsidRPr="003E7328">
              <w:t>. Rev Esp Cardiol (Engl Ed). 2019 Mar;72(3):215-23.</w:t>
            </w:r>
          </w:p>
        </w:tc>
        <w:tc>
          <w:tcPr>
            <w:tcW w:w="492" w:type="pct"/>
            <w:gridSpan w:val="2"/>
            <w:vAlign w:val="center"/>
          </w:tcPr>
          <w:p w14:paraId="735111B0" w14:textId="77777777" w:rsidR="00B64BF9" w:rsidRPr="003E7328" w:rsidRDefault="00B64BF9" w:rsidP="00B64BF9">
            <w:pPr>
              <w:jc w:val="center"/>
            </w:pPr>
            <w:r w:rsidRPr="003E7328">
              <w:t>27/136</w:t>
            </w:r>
          </w:p>
          <w:p w14:paraId="08208B7F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639432AB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  <w:p w14:paraId="4768B86A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1777A2BC" w14:textId="77777777" w:rsidR="00B64BF9" w:rsidRPr="003E7328" w:rsidRDefault="00B64BF9" w:rsidP="00B64BF9">
            <w:pPr>
              <w:jc w:val="center"/>
            </w:pPr>
            <w:r w:rsidRPr="003E7328">
              <w:t>5.126 (2018)</w:t>
            </w:r>
          </w:p>
        </w:tc>
      </w:tr>
      <w:tr w:rsidR="00B64BF9" w:rsidRPr="00D8045D" w14:paraId="02A8E20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B7426C3" w14:textId="3E6700C3" w:rsidR="00B64BF9" w:rsidRPr="003E7328" w:rsidRDefault="00B64BF9" w:rsidP="00B64BF9">
            <w:pPr>
              <w:jc w:val="center"/>
              <w:rPr>
                <w:lang w:val="en-US"/>
              </w:rPr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7</w:t>
            </w:r>
            <w:r w:rsidRPr="003E7328">
              <w:rPr>
                <w:lang w:val="en-US"/>
              </w:rPr>
              <w:t>.</w:t>
            </w:r>
          </w:p>
        </w:tc>
        <w:tc>
          <w:tcPr>
            <w:tcW w:w="3360" w:type="pct"/>
            <w:gridSpan w:val="7"/>
          </w:tcPr>
          <w:p w14:paraId="21FFD046" w14:textId="77777777" w:rsidR="00B64BF9" w:rsidRPr="003E7328" w:rsidRDefault="00B64BF9" w:rsidP="00B64BF9">
            <w:pPr>
              <w:jc w:val="both"/>
            </w:pPr>
            <w:r w:rsidRPr="003E7328">
              <w:t>Raposeiras-Roubín S, Abu-Assi E, D'Ascenzo F, Fernández-Barbeira S, Kinnaird</w:t>
            </w:r>
          </w:p>
          <w:p w14:paraId="6DE5C134" w14:textId="77777777" w:rsidR="00B64BF9" w:rsidRPr="003E7328" w:rsidRDefault="00B64BF9" w:rsidP="00B64BF9">
            <w:pPr>
              <w:jc w:val="both"/>
            </w:pPr>
            <w:r w:rsidRPr="003E7328">
              <w:t xml:space="preserve">T, </w:t>
            </w:r>
            <w:r>
              <w:t>et al...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62" w:history="1">
              <w:r w:rsidRPr="003E7328">
                <w:rPr>
                  <w:rStyle w:val="Hyperlink"/>
                </w:rPr>
                <w:t>Annual Incidence of confirmed stent thrombosis and clinical predictors in patients with acs treated with ticagrelor or prasugrel</w:t>
              </w:r>
            </w:hyperlink>
            <w:r w:rsidRPr="003E7328">
              <w:t>. Rev Esp Cardiol (Engl Ed). 2019 Apr;72(4):298-304.</w:t>
            </w:r>
          </w:p>
        </w:tc>
        <w:tc>
          <w:tcPr>
            <w:tcW w:w="492" w:type="pct"/>
            <w:gridSpan w:val="2"/>
            <w:vAlign w:val="center"/>
          </w:tcPr>
          <w:p w14:paraId="2231D570" w14:textId="77777777" w:rsidR="00B64BF9" w:rsidRPr="003E7328" w:rsidRDefault="00B64BF9" w:rsidP="00B64BF9">
            <w:pPr>
              <w:jc w:val="center"/>
            </w:pPr>
            <w:r w:rsidRPr="003E7328">
              <w:t>27/136</w:t>
            </w:r>
          </w:p>
          <w:p w14:paraId="6CD5F2BD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66CE40AF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  <w:p w14:paraId="11945584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02A15790" w14:textId="77777777" w:rsidR="00B64BF9" w:rsidRPr="003E7328" w:rsidRDefault="00B64BF9" w:rsidP="00B64BF9">
            <w:pPr>
              <w:jc w:val="center"/>
            </w:pPr>
            <w:r w:rsidRPr="003E7328">
              <w:t>5.126 (2018)</w:t>
            </w:r>
          </w:p>
        </w:tc>
      </w:tr>
      <w:tr w:rsidR="00B64BF9" w:rsidRPr="00D8045D" w14:paraId="6F76899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3F4725A" w14:textId="42594A9D" w:rsidR="00B64BF9" w:rsidRPr="003E7328" w:rsidRDefault="00B64BF9" w:rsidP="00B64BF9">
            <w:pPr>
              <w:jc w:val="center"/>
              <w:rPr>
                <w:lang w:val="en-US"/>
              </w:rPr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8</w:t>
            </w:r>
            <w:r w:rsidRPr="003E7328">
              <w:rPr>
                <w:lang w:val="en-US"/>
              </w:rPr>
              <w:t>.</w:t>
            </w:r>
          </w:p>
        </w:tc>
        <w:tc>
          <w:tcPr>
            <w:tcW w:w="3360" w:type="pct"/>
            <w:gridSpan w:val="7"/>
          </w:tcPr>
          <w:p w14:paraId="73D3B390" w14:textId="77777777" w:rsidR="00B64BF9" w:rsidRPr="003E7328" w:rsidRDefault="00B64BF9" w:rsidP="00B64BF9">
            <w:pPr>
              <w:jc w:val="both"/>
            </w:pPr>
            <w:r w:rsidRPr="003E7328">
              <w:t xml:space="preserve">Koshy A, Okwose NC, Nunan D, Toms A, Brodie DA, </w:t>
            </w:r>
            <w:r>
              <w:t>et al...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63" w:history="1">
              <w:r w:rsidRPr="00BF0E43">
                <w:rPr>
                  <w:rStyle w:val="Hyperlink"/>
                </w:rPr>
                <w:t>Association between heart rate variability and haemodynamic response to exercise in chronic heart failure.</w:t>
              </w:r>
            </w:hyperlink>
            <w:r w:rsidRPr="003E7328">
              <w:t xml:space="preserve"> Scand Cardiovasc J. 2019 Apr;53(2):77-82.</w:t>
            </w:r>
          </w:p>
        </w:tc>
        <w:tc>
          <w:tcPr>
            <w:tcW w:w="492" w:type="pct"/>
            <w:gridSpan w:val="2"/>
            <w:vAlign w:val="center"/>
          </w:tcPr>
          <w:p w14:paraId="1B9CA1D0" w14:textId="77777777" w:rsidR="00B64BF9" w:rsidRPr="003E7328" w:rsidRDefault="00B64BF9" w:rsidP="00B64BF9">
            <w:pPr>
              <w:jc w:val="center"/>
            </w:pPr>
            <w:r w:rsidRPr="003E7328">
              <w:t>116/136</w:t>
            </w:r>
          </w:p>
          <w:p w14:paraId="62F85DD6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6D34BA33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  <w:p w14:paraId="1AD8201B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70545CBC" w14:textId="77777777" w:rsidR="00B64BF9" w:rsidRPr="003E7328" w:rsidRDefault="00B64BF9" w:rsidP="00B64BF9">
            <w:pPr>
              <w:jc w:val="center"/>
            </w:pPr>
            <w:r w:rsidRPr="003E7328">
              <w:t>1.286 (2018)</w:t>
            </w:r>
          </w:p>
        </w:tc>
      </w:tr>
      <w:tr w:rsidR="00B64BF9" w:rsidRPr="00D8045D" w14:paraId="75ABABB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18931E9" w14:textId="19EEDFB1" w:rsidR="00B64BF9" w:rsidRPr="003E7328" w:rsidRDefault="00B64BF9" w:rsidP="00B64BF9">
            <w:pPr>
              <w:jc w:val="center"/>
              <w:rPr>
                <w:lang w:val="en-US"/>
              </w:rPr>
            </w:pPr>
            <w:r w:rsidRPr="003E7328">
              <w:rPr>
                <w:lang w:val="en-US"/>
              </w:rPr>
              <w:t>5</w:t>
            </w:r>
            <w:r>
              <w:rPr>
                <w:lang w:val="en-US"/>
              </w:rPr>
              <w:t>9</w:t>
            </w:r>
            <w:r w:rsidRPr="003E7328">
              <w:rPr>
                <w:lang w:val="en-US"/>
              </w:rPr>
              <w:t>.</w:t>
            </w:r>
          </w:p>
        </w:tc>
        <w:tc>
          <w:tcPr>
            <w:tcW w:w="3360" w:type="pct"/>
            <w:gridSpan w:val="7"/>
          </w:tcPr>
          <w:p w14:paraId="774C7934" w14:textId="77777777" w:rsidR="00B64BF9" w:rsidRPr="003E7328" w:rsidRDefault="00B64BF9" w:rsidP="00B64BF9">
            <w:pPr>
              <w:jc w:val="both"/>
            </w:pPr>
            <w:r w:rsidRPr="003E7328">
              <w:t xml:space="preserve">Parovic M, Okwose NC, Bailey K, </w:t>
            </w:r>
            <w:r w:rsidRPr="003E7328">
              <w:rPr>
                <w:b/>
              </w:rPr>
              <w:t>Velicki L</w:t>
            </w:r>
            <w:r w:rsidRPr="003E7328">
              <w:t xml:space="preserve">, Fras Z, Seferovic PM, </w:t>
            </w:r>
            <w:r>
              <w:t>et al</w:t>
            </w:r>
            <w:r w:rsidRPr="003E7328">
              <w:t xml:space="preserve">. </w:t>
            </w:r>
            <w:hyperlink r:id="rId64" w:history="1">
              <w:r w:rsidRPr="003E7328">
                <w:rPr>
                  <w:rStyle w:val="Hyperlink"/>
                </w:rPr>
                <w:t>NT-proBNP is a weak indicator of cardiac function and haemodynamic response to exercise in chronic heart failure</w:t>
              </w:r>
            </w:hyperlink>
            <w:r w:rsidRPr="003E7328">
              <w:t xml:space="preserve">. ESC Heart Fail. 2019 </w:t>
            </w:r>
          </w:p>
          <w:p w14:paraId="4BD2BD9F" w14:textId="77777777" w:rsidR="00B64BF9" w:rsidRPr="003E7328" w:rsidRDefault="00B64BF9" w:rsidP="00B64BF9">
            <w:pPr>
              <w:jc w:val="both"/>
            </w:pPr>
            <w:r w:rsidRPr="003E7328">
              <w:t>Apr;6(2):449-54.</w:t>
            </w:r>
          </w:p>
        </w:tc>
        <w:tc>
          <w:tcPr>
            <w:tcW w:w="492" w:type="pct"/>
            <w:gridSpan w:val="2"/>
            <w:vAlign w:val="center"/>
          </w:tcPr>
          <w:p w14:paraId="6EC14ECE" w14:textId="77777777" w:rsidR="00B64BF9" w:rsidRPr="003E7328" w:rsidRDefault="00B64BF9" w:rsidP="00B64BF9">
            <w:pPr>
              <w:jc w:val="center"/>
            </w:pPr>
            <w:r w:rsidRPr="003E7328">
              <w:t>49/136</w:t>
            </w:r>
          </w:p>
          <w:p w14:paraId="08F93112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09" w:type="pct"/>
            <w:gridSpan w:val="2"/>
            <w:vAlign w:val="center"/>
          </w:tcPr>
          <w:p w14:paraId="5ADC394F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  <w:p w14:paraId="4D8F6743" w14:textId="77777777" w:rsidR="00B64BF9" w:rsidRPr="003E7328" w:rsidRDefault="00B64BF9" w:rsidP="00B64BF9">
            <w:pPr>
              <w:jc w:val="center"/>
            </w:pPr>
            <w:r w:rsidRPr="003E7328">
              <w:t>(2018)</w:t>
            </w:r>
          </w:p>
        </w:tc>
        <w:tc>
          <w:tcPr>
            <w:tcW w:w="493" w:type="pct"/>
            <w:vAlign w:val="center"/>
          </w:tcPr>
          <w:p w14:paraId="11794DD5" w14:textId="77777777" w:rsidR="00B64BF9" w:rsidRPr="003E7328" w:rsidRDefault="00B64BF9" w:rsidP="00B64BF9">
            <w:pPr>
              <w:jc w:val="center"/>
            </w:pPr>
            <w:r w:rsidRPr="003E7328">
              <w:t>3.407 (2018)</w:t>
            </w:r>
          </w:p>
        </w:tc>
      </w:tr>
      <w:tr w:rsidR="00B64BF9" w:rsidRPr="00D8045D" w14:paraId="6CD98CEE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55E73BF5" w14:textId="1C400259" w:rsidR="00B64BF9" w:rsidRPr="003E7328" w:rsidRDefault="00B64BF9" w:rsidP="00B64BF9">
            <w:pPr>
              <w:jc w:val="center"/>
            </w:pPr>
            <w:r>
              <w:t>60.</w:t>
            </w:r>
          </w:p>
        </w:tc>
        <w:tc>
          <w:tcPr>
            <w:tcW w:w="3360" w:type="pct"/>
            <w:gridSpan w:val="7"/>
          </w:tcPr>
          <w:p w14:paraId="22F413ED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>, Jakovljevi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DG, Milosavljevi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AM, Todi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Raji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J, Fabri M. </w:t>
            </w:r>
            <w:hyperlink r:id="rId65" w:history="1">
              <w:r w:rsidRPr="003E7328">
                <w:rPr>
                  <w:rStyle w:val="Hyperlink"/>
                  <w:lang w:val="en-US"/>
                </w:rPr>
                <w:t>Dynamic right ventricular outflow tract obstruction caused by a large interventricular membranous septal aneurysm</w:t>
              </w:r>
            </w:hyperlink>
            <w:r w:rsidRPr="003E7328">
              <w:rPr>
                <w:lang w:val="en-US"/>
              </w:rPr>
              <w:t>. Neth Heart J 2018:26(11);575–6.</w:t>
            </w:r>
          </w:p>
        </w:tc>
        <w:tc>
          <w:tcPr>
            <w:tcW w:w="492" w:type="pct"/>
            <w:gridSpan w:val="2"/>
            <w:vAlign w:val="center"/>
          </w:tcPr>
          <w:p w14:paraId="08AD307C" w14:textId="77777777" w:rsidR="00B64BF9" w:rsidRPr="003E7328" w:rsidRDefault="00B64BF9" w:rsidP="00B64BF9">
            <w:pPr>
              <w:jc w:val="center"/>
            </w:pPr>
            <w:r w:rsidRPr="003E7328">
              <w:t>85/136</w:t>
            </w:r>
          </w:p>
        </w:tc>
        <w:tc>
          <w:tcPr>
            <w:tcW w:w="409" w:type="pct"/>
            <w:gridSpan w:val="2"/>
            <w:vAlign w:val="center"/>
          </w:tcPr>
          <w:p w14:paraId="7729C02A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</w:tc>
        <w:tc>
          <w:tcPr>
            <w:tcW w:w="493" w:type="pct"/>
            <w:vAlign w:val="center"/>
          </w:tcPr>
          <w:p w14:paraId="17BDF12A" w14:textId="77777777" w:rsidR="00B64BF9" w:rsidRPr="003E7328" w:rsidRDefault="00B64BF9" w:rsidP="00B64BF9">
            <w:pPr>
              <w:jc w:val="center"/>
            </w:pPr>
            <w:r w:rsidRPr="003E7328">
              <w:t>1.972</w:t>
            </w:r>
          </w:p>
        </w:tc>
      </w:tr>
      <w:tr w:rsidR="00B64BF9" w:rsidRPr="00D8045D" w14:paraId="78541114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1007AE6" w14:textId="3FB5623B" w:rsidR="00B64BF9" w:rsidRPr="003E7328" w:rsidRDefault="00B64BF9" w:rsidP="00B64BF9">
            <w:pPr>
              <w:jc w:val="center"/>
            </w:pPr>
            <w:r>
              <w:t>61.</w:t>
            </w:r>
          </w:p>
        </w:tc>
        <w:tc>
          <w:tcPr>
            <w:tcW w:w="3360" w:type="pct"/>
            <w:gridSpan w:val="7"/>
          </w:tcPr>
          <w:p w14:paraId="3A77ADE2" w14:textId="77777777" w:rsidR="00B64BF9" w:rsidRPr="003E7328" w:rsidRDefault="00B64BF9" w:rsidP="00B64BF9">
            <w:pPr>
              <w:jc w:val="both"/>
            </w:pPr>
            <w:r w:rsidRPr="003E7328">
              <w:t>D'Ascenzo F, Grosso A, Abu-Assi E, Kinnaird T, Ariza-Solé A.....</w:t>
            </w:r>
            <w:r w:rsidRPr="003E7328">
              <w:rPr>
                <w:b/>
              </w:rPr>
              <w:t>Velicki L</w:t>
            </w:r>
            <w:r w:rsidRPr="003E7328">
              <w:t xml:space="preserve">, et al. </w:t>
            </w:r>
            <w:hyperlink r:id="rId66" w:history="1">
              <w:r w:rsidRPr="003E7328">
                <w:rPr>
                  <w:rStyle w:val="Hyperlink"/>
                </w:rPr>
                <w:t>Incidence and predictors of bleeding in ACS patients treated with PCI and prasugrel or ticagrelor: An analysis from the RENAMI registry</w:t>
              </w:r>
            </w:hyperlink>
            <w:r w:rsidRPr="003E7328">
              <w:t>. Int J Cardiol 2018:273;29–33.</w:t>
            </w:r>
          </w:p>
        </w:tc>
        <w:tc>
          <w:tcPr>
            <w:tcW w:w="492" w:type="pct"/>
            <w:gridSpan w:val="2"/>
            <w:vAlign w:val="center"/>
          </w:tcPr>
          <w:p w14:paraId="1C569956" w14:textId="77777777" w:rsidR="00B64BF9" w:rsidRPr="003E7328" w:rsidRDefault="00B64BF9" w:rsidP="00B64BF9">
            <w:pPr>
              <w:jc w:val="center"/>
            </w:pPr>
            <w:r w:rsidRPr="003E7328">
              <w:t>16/126</w:t>
            </w:r>
          </w:p>
          <w:p w14:paraId="414530BD" w14:textId="77777777" w:rsidR="00B64BF9" w:rsidRPr="003E7328" w:rsidRDefault="00B64BF9" w:rsidP="00B64BF9">
            <w:pPr>
              <w:jc w:val="center"/>
            </w:pPr>
            <w:r w:rsidRPr="003E7328">
              <w:t>(2016)</w:t>
            </w:r>
          </w:p>
        </w:tc>
        <w:tc>
          <w:tcPr>
            <w:tcW w:w="409" w:type="pct"/>
            <w:gridSpan w:val="2"/>
            <w:vAlign w:val="center"/>
          </w:tcPr>
          <w:p w14:paraId="166B9ADB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  <w:p w14:paraId="39206F05" w14:textId="77777777" w:rsidR="00B64BF9" w:rsidRPr="003E7328" w:rsidRDefault="00B64BF9" w:rsidP="00B64BF9">
            <w:pPr>
              <w:jc w:val="center"/>
            </w:pPr>
            <w:r w:rsidRPr="003E7328">
              <w:t>(2016)</w:t>
            </w:r>
          </w:p>
        </w:tc>
        <w:tc>
          <w:tcPr>
            <w:tcW w:w="493" w:type="pct"/>
            <w:vAlign w:val="center"/>
          </w:tcPr>
          <w:p w14:paraId="2C4FD3C8" w14:textId="77777777" w:rsidR="00B64BF9" w:rsidRPr="003E7328" w:rsidRDefault="00B64BF9" w:rsidP="00B64BF9">
            <w:pPr>
              <w:jc w:val="center"/>
            </w:pPr>
            <w:r w:rsidRPr="003E7328">
              <w:t>6.189</w:t>
            </w:r>
          </w:p>
          <w:p w14:paraId="0D7C65A5" w14:textId="77777777" w:rsidR="00B64BF9" w:rsidRPr="003E7328" w:rsidRDefault="00B64BF9" w:rsidP="00B64BF9">
            <w:pPr>
              <w:jc w:val="center"/>
            </w:pPr>
            <w:r w:rsidRPr="003E7328">
              <w:t>(2016)</w:t>
            </w:r>
          </w:p>
        </w:tc>
      </w:tr>
      <w:tr w:rsidR="00B64BF9" w:rsidRPr="00D8045D" w14:paraId="2C3765B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C201790" w14:textId="38D9F8E5" w:rsidR="00B64BF9" w:rsidRPr="003E7328" w:rsidRDefault="00B64BF9" w:rsidP="00B64BF9">
            <w:pPr>
              <w:jc w:val="center"/>
            </w:pPr>
            <w:r>
              <w:t>62.</w:t>
            </w:r>
          </w:p>
        </w:tc>
        <w:tc>
          <w:tcPr>
            <w:tcW w:w="3360" w:type="pct"/>
            <w:gridSpan w:val="7"/>
          </w:tcPr>
          <w:p w14:paraId="0634CD5A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color w:val="000000"/>
                <w:lang w:val="en-US"/>
              </w:rPr>
              <w:t xml:space="preserve">Guerrero C, Garay A, Ariza-Solé A, Formiga F, Raposeiras-Roubín S, </w:t>
            </w:r>
            <w:r>
              <w:rPr>
                <w:color w:val="000000"/>
                <w:lang w:val="en-US"/>
              </w:rPr>
              <w:t>et al…</w:t>
            </w:r>
            <w:r w:rsidRPr="003E7328">
              <w:rPr>
                <w:b/>
                <w:color w:val="000000"/>
                <w:lang w:val="en-US"/>
              </w:rPr>
              <w:t>Velicki L</w:t>
            </w:r>
            <w:r w:rsidRPr="003E7328">
              <w:rPr>
                <w:color w:val="000000"/>
                <w:lang w:val="en-US"/>
              </w:rPr>
              <w:t xml:space="preserve">. </w:t>
            </w:r>
            <w:hyperlink r:id="rId67" w:history="1">
              <w:r w:rsidRPr="003E7328">
                <w:rPr>
                  <w:rStyle w:val="Hyperlink"/>
                  <w:lang w:val="en-US"/>
                </w:rPr>
                <w:t>Anemia in patients with acute coronary syndromes treated with prasugrel or ticagrelor: Insights from the RENAMI registry</w:t>
              </w:r>
            </w:hyperlink>
            <w:r w:rsidRPr="003E7328">
              <w:rPr>
                <w:color w:val="000000"/>
                <w:lang w:val="en-US"/>
              </w:rPr>
              <w:t>. Thromb Res. 2018;167:142-8.</w:t>
            </w:r>
          </w:p>
        </w:tc>
        <w:tc>
          <w:tcPr>
            <w:tcW w:w="492" w:type="pct"/>
            <w:gridSpan w:val="2"/>
            <w:vAlign w:val="center"/>
          </w:tcPr>
          <w:p w14:paraId="32B6A799" w14:textId="77777777" w:rsidR="00B64BF9" w:rsidRPr="003E7328" w:rsidRDefault="00B64BF9" w:rsidP="00B64BF9">
            <w:pPr>
              <w:jc w:val="center"/>
            </w:pPr>
            <w:r w:rsidRPr="003E7328">
              <w:t>27/73</w:t>
            </w:r>
          </w:p>
        </w:tc>
        <w:tc>
          <w:tcPr>
            <w:tcW w:w="409" w:type="pct"/>
            <w:gridSpan w:val="2"/>
            <w:vAlign w:val="center"/>
          </w:tcPr>
          <w:p w14:paraId="24487160" w14:textId="77777777" w:rsidR="00B64BF9" w:rsidRPr="003E7328" w:rsidRDefault="00B64BF9" w:rsidP="00B64BF9">
            <w:pPr>
              <w:jc w:val="center"/>
            </w:pPr>
          </w:p>
          <w:p w14:paraId="0A322CB8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  <w:p w14:paraId="41EA5534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55D374DF" w14:textId="77777777" w:rsidR="00B64BF9" w:rsidRPr="003E7328" w:rsidRDefault="00B64BF9" w:rsidP="00B64BF9">
            <w:pPr>
              <w:jc w:val="center"/>
            </w:pPr>
            <w:r w:rsidRPr="003E7328">
              <w:t>3.266</w:t>
            </w:r>
          </w:p>
        </w:tc>
      </w:tr>
      <w:tr w:rsidR="00B64BF9" w:rsidRPr="00D8045D" w14:paraId="0247DF0D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4458A4C" w14:textId="0F30C539" w:rsidR="00B64BF9" w:rsidRPr="003E7328" w:rsidRDefault="00B64BF9" w:rsidP="00B64BF9">
            <w:pPr>
              <w:jc w:val="center"/>
            </w:pPr>
            <w:r>
              <w:t>63.</w:t>
            </w:r>
          </w:p>
        </w:tc>
        <w:tc>
          <w:tcPr>
            <w:tcW w:w="3360" w:type="pct"/>
            <w:gridSpan w:val="7"/>
          </w:tcPr>
          <w:p w14:paraId="5AD772A1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Andri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S, Te</w:t>
            </w:r>
            <w:r>
              <w:rPr>
                <w:lang w:val="en-US"/>
              </w:rPr>
              <w:t>šić</w:t>
            </w:r>
            <w:r w:rsidRPr="003E7328">
              <w:rPr>
                <w:lang w:val="en-US"/>
              </w:rPr>
              <w:t xml:space="preserve"> D, Somer D, Srdanovi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I, Miljkovi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T, </w:t>
            </w:r>
            <w:r>
              <w:rPr>
                <w:lang w:val="en-US"/>
              </w:rPr>
              <w:t>et al…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68" w:history="1">
              <w:r w:rsidRPr="003E7328">
                <w:rPr>
                  <w:rStyle w:val="Hyperlink"/>
                  <w:lang w:val="en-US"/>
                </w:rPr>
                <w:t>Ventriculoatrial synchrony induced heart failure</w:t>
              </w:r>
            </w:hyperlink>
            <w:r w:rsidRPr="003E7328">
              <w:rPr>
                <w:lang w:val="en-US"/>
              </w:rPr>
              <w:t>. Acta Clin Belg. 2018;73(6):439-43.</w:t>
            </w:r>
          </w:p>
        </w:tc>
        <w:tc>
          <w:tcPr>
            <w:tcW w:w="492" w:type="pct"/>
            <w:gridSpan w:val="2"/>
            <w:vAlign w:val="center"/>
          </w:tcPr>
          <w:p w14:paraId="16556F58" w14:textId="77777777" w:rsidR="00B64BF9" w:rsidRPr="003E7328" w:rsidRDefault="00B64BF9" w:rsidP="00B64BF9">
            <w:pPr>
              <w:jc w:val="center"/>
            </w:pPr>
            <w:r w:rsidRPr="003E7328">
              <w:t>114/160</w:t>
            </w:r>
          </w:p>
        </w:tc>
        <w:tc>
          <w:tcPr>
            <w:tcW w:w="409" w:type="pct"/>
            <w:gridSpan w:val="2"/>
            <w:vAlign w:val="center"/>
          </w:tcPr>
          <w:p w14:paraId="669D492D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</w:tc>
        <w:tc>
          <w:tcPr>
            <w:tcW w:w="493" w:type="pct"/>
            <w:vAlign w:val="center"/>
          </w:tcPr>
          <w:p w14:paraId="3B0D24C1" w14:textId="77777777" w:rsidR="00B64BF9" w:rsidRPr="003E7328" w:rsidRDefault="00B64BF9" w:rsidP="00B64BF9">
            <w:pPr>
              <w:jc w:val="center"/>
            </w:pPr>
            <w:r w:rsidRPr="003E7328">
              <w:t>0.960</w:t>
            </w:r>
          </w:p>
        </w:tc>
      </w:tr>
      <w:tr w:rsidR="00B64BF9" w:rsidRPr="00D8045D" w14:paraId="17BE899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1A44AE85" w14:textId="060DE978" w:rsidR="00B64BF9" w:rsidRPr="003E7328" w:rsidRDefault="00B64BF9" w:rsidP="00B64BF9">
            <w:pPr>
              <w:jc w:val="center"/>
            </w:pPr>
            <w:r>
              <w:t>64.</w:t>
            </w:r>
          </w:p>
        </w:tc>
        <w:tc>
          <w:tcPr>
            <w:tcW w:w="3360" w:type="pct"/>
            <w:gridSpan w:val="7"/>
          </w:tcPr>
          <w:p w14:paraId="57E7F205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Nathania M, Hollingsworth KG, Bates M, Eggettn C, Trenell MI</w:t>
            </w:r>
            <w:r w:rsidRPr="003E7328">
              <w:rPr>
                <w:b/>
                <w:lang w:val="en-US"/>
              </w:rPr>
              <w:t>, Velicki L,</w:t>
            </w:r>
            <w:r w:rsidRPr="003E7328">
              <w:rPr>
                <w:lang w:val="en-US"/>
              </w:rPr>
              <w:t xml:space="preserve"> </w:t>
            </w:r>
            <w:r>
              <w:rPr>
                <w:lang w:val="en-US"/>
              </w:rPr>
              <w:t>et al</w:t>
            </w:r>
            <w:hyperlink r:id="rId69" w:history="1">
              <w:r w:rsidRPr="003E7328">
                <w:rPr>
                  <w:rStyle w:val="Hyperlink"/>
                  <w:lang w:val="en-US"/>
                </w:rPr>
                <w:t>. Impact of age on the association between cardiac high-energy phosphate metabolism and cardiac power in women</w:t>
              </w:r>
            </w:hyperlink>
            <w:r w:rsidRPr="003E7328">
              <w:rPr>
                <w:lang w:val="en-US"/>
              </w:rPr>
              <w:t xml:space="preserve">. Heart.2018;104(2):111-8.  </w:t>
            </w:r>
          </w:p>
        </w:tc>
        <w:tc>
          <w:tcPr>
            <w:tcW w:w="492" w:type="pct"/>
            <w:gridSpan w:val="2"/>
            <w:vAlign w:val="center"/>
          </w:tcPr>
          <w:p w14:paraId="783C8227" w14:textId="77777777" w:rsidR="00B64BF9" w:rsidRPr="003E7328" w:rsidRDefault="00B64BF9" w:rsidP="00B64BF9">
            <w:pPr>
              <w:jc w:val="center"/>
            </w:pPr>
            <w:r w:rsidRPr="003E7328">
              <w:t>28/136</w:t>
            </w:r>
          </w:p>
        </w:tc>
        <w:tc>
          <w:tcPr>
            <w:tcW w:w="409" w:type="pct"/>
            <w:gridSpan w:val="2"/>
            <w:vAlign w:val="center"/>
          </w:tcPr>
          <w:p w14:paraId="445A184A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</w:tc>
        <w:tc>
          <w:tcPr>
            <w:tcW w:w="493" w:type="pct"/>
            <w:vAlign w:val="center"/>
          </w:tcPr>
          <w:p w14:paraId="4F62AE1E" w14:textId="77777777" w:rsidR="00B64BF9" w:rsidRPr="003E7328" w:rsidRDefault="00B64BF9" w:rsidP="00B64BF9">
            <w:pPr>
              <w:jc w:val="center"/>
            </w:pPr>
            <w:r w:rsidRPr="003E7328">
              <w:t>5.082</w:t>
            </w:r>
          </w:p>
        </w:tc>
      </w:tr>
      <w:tr w:rsidR="00B64BF9" w:rsidRPr="00D8045D" w14:paraId="6901BE0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3B06342" w14:textId="6139BB89" w:rsidR="00B64BF9" w:rsidRPr="003E7328" w:rsidRDefault="00B64BF9" w:rsidP="00B64BF9">
            <w:pPr>
              <w:jc w:val="center"/>
            </w:pPr>
            <w:r>
              <w:t>65.</w:t>
            </w:r>
          </w:p>
        </w:tc>
        <w:tc>
          <w:tcPr>
            <w:tcW w:w="3360" w:type="pct"/>
            <w:gridSpan w:val="7"/>
          </w:tcPr>
          <w:p w14:paraId="20DC9DD1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color w:val="000000"/>
                <w:lang w:val="en-US"/>
              </w:rPr>
              <w:t>Babin D, Pi</w:t>
            </w:r>
            <w:r>
              <w:rPr>
                <w:color w:val="000000"/>
                <w:lang w:val="en-US"/>
              </w:rPr>
              <w:t>ž</w:t>
            </w:r>
            <w:r w:rsidRPr="003E7328">
              <w:rPr>
                <w:color w:val="000000"/>
                <w:lang w:val="en-US"/>
              </w:rPr>
              <w:t xml:space="preserve">urica A, </w:t>
            </w:r>
            <w:r w:rsidRPr="003E7328">
              <w:rPr>
                <w:b/>
                <w:color w:val="000000"/>
                <w:lang w:val="en-US"/>
              </w:rPr>
              <w:t>Velicki L</w:t>
            </w:r>
            <w:r w:rsidRPr="003E7328">
              <w:rPr>
                <w:color w:val="000000"/>
                <w:lang w:val="en-US"/>
              </w:rPr>
              <w:t>, Mati</w:t>
            </w:r>
            <w:r>
              <w:rPr>
                <w:color w:val="000000"/>
                <w:lang w:val="en-US"/>
              </w:rPr>
              <w:t>ć</w:t>
            </w:r>
            <w:r w:rsidRPr="003E7328">
              <w:rPr>
                <w:color w:val="000000"/>
                <w:lang w:val="en-US"/>
              </w:rPr>
              <w:t xml:space="preserve"> V, Gali</w:t>
            </w:r>
            <w:r>
              <w:rPr>
                <w:color w:val="000000"/>
                <w:lang w:val="en-US"/>
              </w:rPr>
              <w:t>ć</w:t>
            </w:r>
            <w:r w:rsidRPr="003E7328">
              <w:rPr>
                <w:color w:val="000000"/>
                <w:lang w:val="en-US"/>
              </w:rPr>
              <w:t xml:space="preserve"> I, Leventi</w:t>
            </w:r>
            <w:r>
              <w:rPr>
                <w:color w:val="000000"/>
                <w:lang w:val="en-US"/>
              </w:rPr>
              <w:t>ć</w:t>
            </w:r>
            <w:r w:rsidRPr="003E7328">
              <w:rPr>
                <w:color w:val="000000"/>
                <w:lang w:val="en-US"/>
              </w:rPr>
              <w:t xml:space="preserve"> H, </w:t>
            </w:r>
            <w:r>
              <w:rPr>
                <w:color w:val="000000"/>
                <w:lang w:val="en-US"/>
              </w:rPr>
              <w:t>et al</w:t>
            </w:r>
            <w:r w:rsidRPr="003E7328">
              <w:rPr>
                <w:color w:val="000000"/>
                <w:lang w:val="en-US"/>
              </w:rPr>
              <w:t xml:space="preserve">. </w:t>
            </w:r>
            <w:hyperlink r:id="rId70" w:history="1">
              <w:r w:rsidRPr="003E7328">
                <w:rPr>
                  <w:rStyle w:val="Hyperlink"/>
                  <w:lang w:val="en-US"/>
                </w:rPr>
                <w:t>Skeletonization method for vessel delineation of arteriovenous malformation</w:t>
              </w:r>
            </w:hyperlink>
            <w:r w:rsidRPr="003E7328">
              <w:rPr>
                <w:color w:val="000000"/>
                <w:lang w:val="en-US"/>
              </w:rPr>
              <w:t xml:space="preserve">. </w:t>
            </w:r>
            <w:r w:rsidRPr="003E7328">
              <w:rPr>
                <w:lang w:val="en-US"/>
              </w:rPr>
              <w:t>Comput Biol Med. 2018;93:93–105.</w:t>
            </w:r>
          </w:p>
        </w:tc>
        <w:tc>
          <w:tcPr>
            <w:tcW w:w="492" w:type="pct"/>
            <w:gridSpan w:val="2"/>
            <w:vAlign w:val="center"/>
          </w:tcPr>
          <w:p w14:paraId="4A9F0F4D" w14:textId="77777777" w:rsidR="00B64BF9" w:rsidRPr="003E7328" w:rsidRDefault="00B64BF9" w:rsidP="00B64BF9">
            <w:pPr>
              <w:jc w:val="center"/>
            </w:pPr>
            <w:r w:rsidRPr="003E7328">
              <w:t>27/87</w:t>
            </w:r>
          </w:p>
        </w:tc>
        <w:tc>
          <w:tcPr>
            <w:tcW w:w="409" w:type="pct"/>
            <w:gridSpan w:val="2"/>
            <w:vAlign w:val="center"/>
          </w:tcPr>
          <w:p w14:paraId="531AD589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</w:tc>
        <w:tc>
          <w:tcPr>
            <w:tcW w:w="493" w:type="pct"/>
            <w:vAlign w:val="center"/>
          </w:tcPr>
          <w:p w14:paraId="477EDD6F" w14:textId="77777777" w:rsidR="00B64BF9" w:rsidRPr="003E7328" w:rsidRDefault="00B64BF9" w:rsidP="00B64BF9">
            <w:pPr>
              <w:jc w:val="center"/>
            </w:pPr>
            <w:r w:rsidRPr="003E7328">
              <w:t>2.286</w:t>
            </w:r>
          </w:p>
        </w:tc>
      </w:tr>
      <w:tr w:rsidR="00B64BF9" w:rsidRPr="00D8045D" w14:paraId="55C1171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2E49A38" w14:textId="67B3A3D2" w:rsidR="00B64BF9" w:rsidRPr="003E7328" w:rsidRDefault="00B64BF9" w:rsidP="00B64BF9">
            <w:pPr>
              <w:jc w:val="center"/>
            </w:pPr>
            <w:r>
              <w:t>66.</w:t>
            </w:r>
          </w:p>
        </w:tc>
        <w:tc>
          <w:tcPr>
            <w:tcW w:w="3360" w:type="pct"/>
            <w:gridSpan w:val="7"/>
          </w:tcPr>
          <w:p w14:paraId="16FD113D" w14:textId="77777777" w:rsidR="00B64BF9" w:rsidRPr="003E7328" w:rsidRDefault="00B64BF9" w:rsidP="00B64BF9">
            <w:pPr>
              <w:jc w:val="both"/>
              <w:rPr>
                <w:color w:val="000000"/>
                <w:lang w:val="en-US"/>
              </w:rPr>
            </w:pPr>
            <w:r w:rsidRPr="003E7328">
              <w:rPr>
                <w:color w:val="000000"/>
                <w:lang w:val="en-US"/>
              </w:rPr>
              <w:t xml:space="preserve">Zlokolica V, Krstanović L, </w:t>
            </w:r>
            <w:r w:rsidRPr="003E7328">
              <w:rPr>
                <w:b/>
                <w:color w:val="000000"/>
                <w:lang w:val="en-US"/>
              </w:rPr>
              <w:t>Velicki L,</w:t>
            </w:r>
            <w:r w:rsidRPr="003E7328">
              <w:rPr>
                <w:color w:val="000000"/>
                <w:lang w:val="en-US"/>
              </w:rPr>
              <w:t xml:space="preserve"> Popović B, Janev M, Obradović R, </w:t>
            </w:r>
            <w:r>
              <w:rPr>
                <w:color w:val="000000"/>
                <w:lang w:val="en-US"/>
              </w:rPr>
              <w:t>et al</w:t>
            </w:r>
            <w:r w:rsidRPr="003E7328">
              <w:rPr>
                <w:color w:val="000000"/>
                <w:lang w:val="en-US"/>
              </w:rPr>
              <w:t xml:space="preserve">. </w:t>
            </w:r>
            <w:hyperlink r:id="rId71" w:history="1">
              <w:r w:rsidRPr="003E7328">
                <w:rPr>
                  <w:rStyle w:val="Hyperlink"/>
                  <w:lang w:val="en-US"/>
                </w:rPr>
                <w:t>Semiautomatic epicardial fat segmentation based on fuzzy c-means clustering and geometric ellipse fitting</w:t>
              </w:r>
            </w:hyperlink>
            <w:r w:rsidRPr="003E7328">
              <w:rPr>
                <w:color w:val="000000"/>
                <w:lang w:val="en-US"/>
              </w:rPr>
              <w:t xml:space="preserve">. </w:t>
            </w:r>
            <w:r w:rsidRPr="003E7328">
              <w:rPr>
                <w:rStyle w:val="jrnl"/>
              </w:rPr>
              <w:t>J Healthc Eng</w:t>
            </w:r>
            <w:r w:rsidRPr="003E7328">
              <w:rPr>
                <w:color w:val="000000"/>
                <w:lang w:val="en-US"/>
              </w:rPr>
              <w:t>. 2017;2017:1-12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492" w:type="pct"/>
            <w:gridSpan w:val="2"/>
            <w:vAlign w:val="center"/>
          </w:tcPr>
          <w:p w14:paraId="058B222A" w14:textId="77777777" w:rsidR="00B64BF9" w:rsidRPr="003E7328" w:rsidRDefault="00B64BF9" w:rsidP="00B64BF9">
            <w:pPr>
              <w:jc w:val="center"/>
            </w:pPr>
            <w:r w:rsidRPr="003E7328">
              <w:t>76/94</w:t>
            </w:r>
          </w:p>
        </w:tc>
        <w:tc>
          <w:tcPr>
            <w:tcW w:w="409" w:type="pct"/>
            <w:gridSpan w:val="2"/>
            <w:vAlign w:val="center"/>
          </w:tcPr>
          <w:p w14:paraId="45AA56EF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</w:tc>
        <w:tc>
          <w:tcPr>
            <w:tcW w:w="493" w:type="pct"/>
            <w:vAlign w:val="center"/>
          </w:tcPr>
          <w:p w14:paraId="32D5F913" w14:textId="77777777" w:rsidR="00B64BF9" w:rsidRPr="003E7328" w:rsidRDefault="00B64BF9" w:rsidP="00B64BF9">
            <w:pPr>
              <w:jc w:val="center"/>
            </w:pPr>
            <w:r w:rsidRPr="003E7328">
              <w:t>1.261</w:t>
            </w:r>
          </w:p>
        </w:tc>
      </w:tr>
      <w:tr w:rsidR="00B64BF9" w:rsidRPr="00D8045D" w14:paraId="222A3DB5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BA05267" w14:textId="3A685E3E" w:rsidR="00B64BF9" w:rsidRPr="003E7328" w:rsidRDefault="00B64BF9" w:rsidP="00B64BF9">
            <w:pPr>
              <w:jc w:val="center"/>
            </w:pPr>
            <w:r>
              <w:t>67.</w:t>
            </w:r>
          </w:p>
        </w:tc>
        <w:tc>
          <w:tcPr>
            <w:tcW w:w="3360" w:type="pct"/>
            <w:gridSpan w:val="7"/>
          </w:tcPr>
          <w:p w14:paraId="00863355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Kova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>evi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P, Srdanovi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I, Ivanovi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V, Raji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J, Petrovi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N, 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72" w:history="1">
              <w:r w:rsidRPr="003E7328">
                <w:rPr>
                  <w:rStyle w:val="Hyperlink"/>
                  <w:lang w:val="en-US"/>
                </w:rPr>
                <w:t>Late complications of transcatheter atrial septal defect closure requiring urgent surgery</w:t>
              </w:r>
            </w:hyperlink>
            <w:r w:rsidRPr="003E7328">
              <w:rPr>
                <w:lang w:val="en-US"/>
              </w:rPr>
              <w:t>. Adv Interv Cardiol. 2017;13,4(50):335–8.</w:t>
            </w:r>
          </w:p>
        </w:tc>
        <w:tc>
          <w:tcPr>
            <w:tcW w:w="492" w:type="pct"/>
            <w:gridSpan w:val="2"/>
            <w:vAlign w:val="center"/>
          </w:tcPr>
          <w:p w14:paraId="376BE55F" w14:textId="77777777" w:rsidR="00B64BF9" w:rsidRPr="003E7328" w:rsidRDefault="00B64BF9" w:rsidP="00B64BF9">
            <w:pPr>
              <w:jc w:val="center"/>
            </w:pPr>
            <w:r w:rsidRPr="003E7328">
              <w:t>99/128</w:t>
            </w:r>
          </w:p>
        </w:tc>
        <w:tc>
          <w:tcPr>
            <w:tcW w:w="409" w:type="pct"/>
            <w:gridSpan w:val="2"/>
            <w:vAlign w:val="center"/>
          </w:tcPr>
          <w:p w14:paraId="414B4EC5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  <w:p w14:paraId="0119B808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52B5C3ED" w14:textId="77777777" w:rsidR="00B64BF9" w:rsidRPr="003E7328" w:rsidRDefault="00B64BF9" w:rsidP="00B64BF9">
            <w:pPr>
              <w:jc w:val="center"/>
            </w:pPr>
            <w:r w:rsidRPr="003E7328">
              <w:t>1.443</w:t>
            </w:r>
          </w:p>
        </w:tc>
      </w:tr>
      <w:tr w:rsidR="00B64BF9" w:rsidRPr="00D8045D" w14:paraId="7D86CECF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98E0931" w14:textId="4571337E" w:rsidR="00B64BF9" w:rsidRPr="003E7328" w:rsidRDefault="00B64BF9" w:rsidP="00B64BF9">
            <w:pPr>
              <w:jc w:val="center"/>
            </w:pPr>
            <w:r>
              <w:t>68.</w:t>
            </w:r>
          </w:p>
        </w:tc>
        <w:tc>
          <w:tcPr>
            <w:tcW w:w="3360" w:type="pct"/>
            <w:gridSpan w:val="7"/>
          </w:tcPr>
          <w:p w14:paraId="69037EBB" w14:textId="77777777" w:rsidR="00B64BF9" w:rsidRPr="003E7328" w:rsidRDefault="00B64BF9" w:rsidP="00B64BF9">
            <w:pPr>
              <w:jc w:val="both"/>
            </w:pPr>
            <w:r w:rsidRPr="003E7328">
              <w:t>Babovi</w:t>
            </w:r>
            <w:r>
              <w:t>č</w:t>
            </w:r>
            <w:r w:rsidRPr="003E7328">
              <w:t>-Stani</w:t>
            </w:r>
            <w:r>
              <w:t>č</w:t>
            </w:r>
            <w:r w:rsidRPr="003E7328">
              <w:t xml:space="preserve"> K, Dejanovi</w:t>
            </w:r>
            <w:r>
              <w:t>č</w:t>
            </w:r>
            <w:r w:rsidRPr="003E7328">
              <w:t xml:space="preserve"> J, Vulin A, </w:t>
            </w:r>
            <w:r w:rsidRPr="003E7328">
              <w:rPr>
                <w:b/>
              </w:rPr>
              <w:t>Velicki L</w:t>
            </w:r>
            <w:r w:rsidRPr="003E7328">
              <w:t>, Red</w:t>
            </w:r>
            <w:r>
              <w:t>ž</w:t>
            </w:r>
            <w:r w:rsidRPr="003E7328">
              <w:t xml:space="preserve">ek A. </w:t>
            </w:r>
            <w:hyperlink r:id="rId73" w:history="1">
              <w:r w:rsidRPr="003E7328">
                <w:rPr>
                  <w:rStyle w:val="Hyperlink"/>
                </w:rPr>
                <w:t>Cardiac surgery in patients with chronic renal failure</w:t>
              </w:r>
            </w:hyperlink>
            <w:r w:rsidRPr="003E7328">
              <w:t>. Srp Arh Celok Lek. 2017;145(9-10):470-4.</w:t>
            </w:r>
          </w:p>
        </w:tc>
        <w:tc>
          <w:tcPr>
            <w:tcW w:w="492" w:type="pct"/>
            <w:gridSpan w:val="2"/>
            <w:vAlign w:val="center"/>
          </w:tcPr>
          <w:p w14:paraId="4621B548" w14:textId="77777777" w:rsidR="00B64BF9" w:rsidRPr="003E7328" w:rsidRDefault="00B64BF9" w:rsidP="00B64BF9">
            <w:pPr>
              <w:jc w:val="center"/>
            </w:pPr>
            <w:r w:rsidRPr="003E7328">
              <w:t>149/154</w:t>
            </w:r>
          </w:p>
        </w:tc>
        <w:tc>
          <w:tcPr>
            <w:tcW w:w="409" w:type="pct"/>
            <w:gridSpan w:val="2"/>
            <w:vAlign w:val="center"/>
          </w:tcPr>
          <w:p w14:paraId="163473D5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  <w:p w14:paraId="754C82B3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133F0271" w14:textId="77777777" w:rsidR="00B64BF9" w:rsidRPr="003E7328" w:rsidRDefault="00B64BF9" w:rsidP="00B64BF9">
            <w:pPr>
              <w:jc w:val="center"/>
            </w:pPr>
            <w:r w:rsidRPr="003E7328">
              <w:t>0.253</w:t>
            </w:r>
          </w:p>
          <w:p w14:paraId="734D74CD" w14:textId="77777777" w:rsidR="00B64BF9" w:rsidRPr="003E7328" w:rsidRDefault="00B64BF9" w:rsidP="00B64BF9">
            <w:pPr>
              <w:jc w:val="center"/>
            </w:pPr>
          </w:p>
        </w:tc>
      </w:tr>
      <w:tr w:rsidR="00B64BF9" w:rsidRPr="00D8045D" w14:paraId="4B448EA1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7B8E298" w14:textId="52BB7E46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360" w:type="pct"/>
            <w:gridSpan w:val="7"/>
          </w:tcPr>
          <w:p w14:paraId="4AD9C3C0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Ili</w:t>
            </w:r>
            <w:r>
              <w:rPr>
                <w:lang w:val="en-US"/>
              </w:rPr>
              <w:t>č</w:t>
            </w:r>
            <w:r w:rsidRPr="003E7328">
              <w:rPr>
                <w:lang w:val="en-US"/>
              </w:rPr>
              <w:t xml:space="preserve"> A, Ili</w:t>
            </w:r>
            <w:r>
              <w:rPr>
                <w:lang w:val="en-US"/>
              </w:rPr>
              <w:t>ć Đ</w:t>
            </w:r>
            <w:r w:rsidRPr="003E7328">
              <w:rPr>
                <w:lang w:val="en-US"/>
              </w:rPr>
              <w:t>, Tadi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S, Stefanovi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Stoj</w:t>
            </w:r>
            <w:r>
              <w:rPr>
                <w:lang w:val="en-US"/>
              </w:rPr>
              <w:t>š</w:t>
            </w:r>
            <w:r w:rsidRPr="003E7328">
              <w:rPr>
                <w:lang w:val="en-US"/>
              </w:rPr>
              <w:t>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>-Milosavljevi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A, </w:t>
            </w:r>
            <w:r>
              <w:rPr>
                <w:lang w:val="en-US"/>
              </w:rPr>
              <w:t>et al…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74" w:history="1">
              <w:r w:rsidRPr="003E7328">
                <w:rPr>
                  <w:rStyle w:val="Hyperlink"/>
                  <w:lang w:val="en-US"/>
                </w:rPr>
                <w:t>Influence of non-dipping pattern of blood pressure in gestational hypertension on maternal cardiac function, hemodynamics and intrauterine growth restriction</w:t>
              </w:r>
            </w:hyperlink>
            <w:r w:rsidRPr="003E7328">
              <w:rPr>
                <w:lang w:val="en-US"/>
              </w:rPr>
              <w:t>. Pregnancy Hypertens. 2017;10:34–41.</w:t>
            </w:r>
          </w:p>
        </w:tc>
        <w:tc>
          <w:tcPr>
            <w:tcW w:w="492" w:type="pct"/>
            <w:gridSpan w:val="2"/>
            <w:vAlign w:val="center"/>
          </w:tcPr>
          <w:p w14:paraId="1F37711F" w14:textId="77777777" w:rsidR="00B64BF9" w:rsidRPr="003E7328" w:rsidRDefault="00B64BF9" w:rsidP="00B64BF9">
            <w:pPr>
              <w:jc w:val="center"/>
            </w:pPr>
            <w:r w:rsidRPr="003E7328">
              <w:t>9/80 (2016)</w:t>
            </w:r>
          </w:p>
        </w:tc>
        <w:tc>
          <w:tcPr>
            <w:tcW w:w="409" w:type="pct"/>
            <w:gridSpan w:val="2"/>
            <w:vAlign w:val="center"/>
          </w:tcPr>
          <w:p w14:paraId="2CFB79F8" w14:textId="77777777" w:rsidR="00B64BF9" w:rsidRPr="003E7328" w:rsidRDefault="00B64BF9" w:rsidP="00B64BF9">
            <w:pPr>
              <w:jc w:val="center"/>
            </w:pPr>
            <w:r w:rsidRPr="003E7328">
              <w:t>21</w:t>
            </w:r>
          </w:p>
          <w:p w14:paraId="4682F26A" w14:textId="77777777" w:rsidR="00B64BF9" w:rsidRPr="003E7328" w:rsidRDefault="00B64BF9" w:rsidP="00B64BF9">
            <w:pPr>
              <w:jc w:val="center"/>
            </w:pPr>
            <w:r w:rsidRPr="003E7328">
              <w:t>(2016)</w:t>
            </w:r>
          </w:p>
        </w:tc>
        <w:tc>
          <w:tcPr>
            <w:tcW w:w="493" w:type="pct"/>
            <w:vAlign w:val="center"/>
          </w:tcPr>
          <w:p w14:paraId="289AA5C0" w14:textId="77777777" w:rsidR="00B64BF9" w:rsidRPr="003E7328" w:rsidRDefault="00B64BF9" w:rsidP="00B64BF9">
            <w:pPr>
              <w:jc w:val="center"/>
            </w:pPr>
            <w:r w:rsidRPr="003E7328">
              <w:t>3.930</w:t>
            </w:r>
          </w:p>
          <w:p w14:paraId="4FD5770A" w14:textId="77777777" w:rsidR="00B64BF9" w:rsidRPr="003E7328" w:rsidRDefault="00B64BF9" w:rsidP="00B64BF9">
            <w:pPr>
              <w:jc w:val="center"/>
            </w:pPr>
            <w:r w:rsidRPr="003E7328">
              <w:t>(2016)</w:t>
            </w:r>
          </w:p>
        </w:tc>
      </w:tr>
      <w:tr w:rsidR="00B64BF9" w:rsidRPr="00D8045D" w14:paraId="7D81887E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02081B8" w14:textId="18DAF750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</w:t>
            </w:r>
          </w:p>
        </w:tc>
        <w:tc>
          <w:tcPr>
            <w:tcW w:w="3360" w:type="pct"/>
            <w:gridSpan w:val="7"/>
          </w:tcPr>
          <w:p w14:paraId="1A1D3169" w14:textId="77777777" w:rsidR="00B64BF9" w:rsidRPr="003E7328" w:rsidRDefault="00B64BF9" w:rsidP="00B64BF9">
            <w:pPr>
              <w:jc w:val="both"/>
            </w:pPr>
            <w:r w:rsidRPr="003E7328">
              <w:t>Jakovljevi</w:t>
            </w:r>
            <w:r>
              <w:t>ć</w:t>
            </w:r>
            <w:r w:rsidRPr="003E7328">
              <w:t xml:space="preserve"> D, Yacoub M, Schueler S, MacGowan G, </w:t>
            </w:r>
            <w:r w:rsidRPr="003E7328">
              <w:rPr>
                <w:b/>
              </w:rPr>
              <w:t>Velicki L,</w:t>
            </w:r>
            <w:r w:rsidRPr="003E7328">
              <w:t xml:space="preserve"> Seferovic P, </w:t>
            </w:r>
            <w:r>
              <w:t>et al</w:t>
            </w:r>
            <w:r w:rsidRPr="003E7328">
              <w:t xml:space="preserve">. </w:t>
            </w:r>
            <w:hyperlink r:id="rId75" w:history="1">
              <w:r w:rsidRPr="003E7328">
                <w:rPr>
                  <w:rStyle w:val="Hyperlink"/>
                  <w:lang w:val="en-US"/>
                </w:rPr>
                <w:t>Left Ventricular Assist Device as a Bridge to Recovery for Patients With Advanced Heart Failure</w:t>
              </w:r>
            </w:hyperlink>
            <w:r w:rsidRPr="003E7328">
              <w:rPr>
                <w:lang w:val="en-US"/>
              </w:rPr>
              <w:t>. J Am Coll Cardiol. 2017;69(15):1924-33.</w:t>
            </w:r>
          </w:p>
        </w:tc>
        <w:tc>
          <w:tcPr>
            <w:tcW w:w="492" w:type="pct"/>
            <w:gridSpan w:val="2"/>
            <w:vAlign w:val="center"/>
          </w:tcPr>
          <w:p w14:paraId="6CFD3A25" w14:textId="77777777" w:rsidR="00B64BF9" w:rsidRPr="003E7328" w:rsidRDefault="00B64BF9" w:rsidP="00B64BF9">
            <w:pPr>
              <w:jc w:val="center"/>
            </w:pPr>
            <w:r w:rsidRPr="003E7328">
              <w:t xml:space="preserve"> 3/128</w:t>
            </w:r>
          </w:p>
          <w:p w14:paraId="49AC95B3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7CF7E265" w14:textId="77777777" w:rsidR="00B64BF9" w:rsidRPr="003E7328" w:rsidRDefault="00B64BF9" w:rsidP="00B64BF9">
            <w:pPr>
              <w:jc w:val="center"/>
            </w:pPr>
            <w:r w:rsidRPr="003E7328">
              <w:t xml:space="preserve"> 21a</w:t>
            </w:r>
          </w:p>
          <w:p w14:paraId="4CB52BE2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5D616C38" w14:textId="77777777" w:rsidR="00B64BF9" w:rsidRPr="003E7328" w:rsidRDefault="00B64BF9" w:rsidP="00B64BF9">
            <w:pPr>
              <w:jc w:val="center"/>
            </w:pPr>
            <w:r w:rsidRPr="003E7328">
              <w:t>16.834</w:t>
            </w:r>
          </w:p>
        </w:tc>
      </w:tr>
      <w:tr w:rsidR="00B64BF9" w:rsidRPr="00D8045D" w14:paraId="384CC161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D5E360B" w14:textId="166E718B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71.</w:t>
            </w:r>
          </w:p>
        </w:tc>
        <w:tc>
          <w:tcPr>
            <w:tcW w:w="3360" w:type="pct"/>
            <w:gridSpan w:val="7"/>
          </w:tcPr>
          <w:p w14:paraId="524C2FF8" w14:textId="77777777" w:rsidR="00B64BF9" w:rsidRPr="003E7328" w:rsidRDefault="00B64BF9" w:rsidP="00B64BF9">
            <w:pPr>
              <w:jc w:val="both"/>
            </w:pPr>
            <w:hyperlink r:id="rId76" w:history="1">
              <w:r w:rsidRPr="003E7328">
                <w:rPr>
                  <w:rStyle w:val="Hyperlink"/>
                  <w:color w:val="auto"/>
                  <w:u w:val="none"/>
                </w:rPr>
                <w:t>Susak S,</w:t>
              </w:r>
            </w:hyperlink>
            <w:r w:rsidRPr="003E7328">
              <w:t xml:space="preserve"> </w:t>
            </w:r>
            <w:hyperlink r:id="rId77" w:history="1">
              <w:r w:rsidRPr="003E7328">
                <w:rPr>
                  <w:rStyle w:val="Hyperlink"/>
                  <w:color w:val="auto"/>
                  <w:u w:val="none"/>
                </w:rPr>
                <w:t>Red</w:t>
              </w:r>
              <w:r>
                <w:rPr>
                  <w:rStyle w:val="Hyperlink"/>
                  <w:color w:val="auto"/>
                  <w:u w:val="none"/>
                </w:rPr>
                <w:t>ž</w:t>
              </w:r>
              <w:r w:rsidRPr="003E7328">
                <w:rPr>
                  <w:rStyle w:val="Hyperlink"/>
                  <w:color w:val="auto"/>
                  <w:u w:val="none"/>
                </w:rPr>
                <w:t>ek A,</w:t>
              </w:r>
            </w:hyperlink>
            <w:r w:rsidRPr="003E7328">
              <w:t xml:space="preserve"> </w:t>
            </w:r>
            <w:hyperlink r:id="rId78" w:history="1">
              <w:r w:rsidRPr="003E7328">
                <w:rPr>
                  <w:rStyle w:val="Hyperlink"/>
                  <w:color w:val="auto"/>
                  <w:u w:val="none"/>
                </w:rPr>
                <w:t>Rosi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3E7328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Pr="003E7328">
              <w:t xml:space="preserve"> </w:t>
            </w:r>
            <w:hyperlink r:id="rId79" w:history="1">
              <w:r w:rsidRPr="003E7328">
                <w:rPr>
                  <w:rStyle w:val="Hyperlink"/>
                  <w:b/>
                  <w:color w:val="auto"/>
                  <w:u w:val="none"/>
                </w:rPr>
                <w:t>Velicki L</w:t>
              </w:r>
              <w:r w:rsidRPr="003E7328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3E7328">
              <w:t xml:space="preserve"> </w:t>
            </w:r>
            <w:hyperlink r:id="rId80" w:history="1">
              <w:r w:rsidRPr="003E7328">
                <w:rPr>
                  <w:rStyle w:val="Hyperlink"/>
                  <w:color w:val="auto"/>
                  <w:u w:val="none"/>
                </w:rPr>
                <w:t>Okiljevi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3E7328">
                <w:rPr>
                  <w:rStyle w:val="Hyperlink"/>
                  <w:color w:val="auto"/>
                  <w:u w:val="none"/>
                </w:rPr>
                <w:t xml:space="preserve"> B.</w:t>
              </w:r>
            </w:hyperlink>
            <w:r w:rsidRPr="003E7328">
              <w:t xml:space="preserve"> </w:t>
            </w:r>
            <w:hyperlink r:id="rId81" w:history="1">
              <w:r w:rsidRPr="003E7328">
                <w:rPr>
                  <w:rStyle w:val="Hyperlink"/>
                </w:rPr>
                <w:t>Development of cardiopulmonary bypass: A historical review</w:t>
              </w:r>
            </w:hyperlink>
            <w:r w:rsidRPr="003E7328">
              <w:t>. Srp Arh Celok Lek. 2016;144(11-12):670-5.</w:t>
            </w:r>
          </w:p>
        </w:tc>
        <w:tc>
          <w:tcPr>
            <w:tcW w:w="492" w:type="pct"/>
            <w:gridSpan w:val="2"/>
            <w:vAlign w:val="center"/>
          </w:tcPr>
          <w:p w14:paraId="4FD90D31" w14:textId="77777777" w:rsidR="00B64BF9" w:rsidRPr="003E7328" w:rsidRDefault="00B64BF9" w:rsidP="00B64BF9">
            <w:pPr>
              <w:jc w:val="center"/>
            </w:pPr>
            <w:r w:rsidRPr="003E7328">
              <w:t xml:space="preserve"> 146/155</w:t>
            </w:r>
          </w:p>
          <w:p w14:paraId="54DBF14F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14C53BBE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  <w:p w14:paraId="6D91ABE8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087CD2DA" w14:textId="77777777" w:rsidR="00B64BF9" w:rsidRPr="003E7328" w:rsidRDefault="00B64BF9" w:rsidP="00B64BF9">
            <w:pPr>
              <w:jc w:val="center"/>
            </w:pPr>
            <w:r w:rsidRPr="003E7328">
              <w:t>0.253</w:t>
            </w:r>
          </w:p>
          <w:p w14:paraId="37B1BA81" w14:textId="77777777" w:rsidR="00B64BF9" w:rsidRPr="003E7328" w:rsidRDefault="00B64BF9" w:rsidP="00B64BF9">
            <w:pPr>
              <w:jc w:val="center"/>
            </w:pPr>
          </w:p>
        </w:tc>
      </w:tr>
      <w:tr w:rsidR="00B64BF9" w:rsidRPr="00D8045D" w14:paraId="59A5DD0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73A369E5" w14:textId="67CCCC43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3360" w:type="pct"/>
            <w:gridSpan w:val="7"/>
          </w:tcPr>
          <w:p w14:paraId="5F227737" w14:textId="77777777" w:rsidR="00B64BF9" w:rsidRPr="003E7328" w:rsidRDefault="00B64BF9" w:rsidP="00B64BF9">
            <w:pPr>
              <w:jc w:val="both"/>
            </w:pPr>
            <w:r w:rsidRPr="003E7328">
              <w:rPr>
                <w:b/>
                <w:color w:val="1A1A1A"/>
                <w:lang w:val="en-US"/>
              </w:rPr>
              <w:t>Velicki L</w:t>
            </w:r>
            <w:r w:rsidRPr="003E7328">
              <w:rPr>
                <w:color w:val="1A1A1A"/>
                <w:lang w:val="en-US"/>
              </w:rPr>
              <w:t>, Rosi</w:t>
            </w:r>
            <w:r>
              <w:rPr>
                <w:color w:val="1A1A1A"/>
                <w:lang w:val="en-US"/>
              </w:rPr>
              <w:t>ć</w:t>
            </w:r>
            <w:r w:rsidRPr="003E7328">
              <w:rPr>
                <w:color w:val="1A1A1A"/>
                <w:lang w:val="en-US"/>
              </w:rPr>
              <w:t xml:space="preserve"> M, Susak S, Red</w:t>
            </w:r>
            <w:r>
              <w:rPr>
                <w:color w:val="1A1A1A"/>
                <w:lang w:val="en-US"/>
              </w:rPr>
              <w:t>ž</w:t>
            </w:r>
            <w:r w:rsidRPr="003E7328">
              <w:rPr>
                <w:color w:val="1A1A1A"/>
                <w:lang w:val="en-US"/>
              </w:rPr>
              <w:t xml:space="preserve">ek A. </w:t>
            </w:r>
            <w:r w:rsidRPr="003E7328">
              <w:rPr>
                <w:bCs/>
                <w:lang w:val="en-US"/>
              </w:rPr>
              <w:t xml:space="preserve">eReply re: </w:t>
            </w:r>
            <w:hyperlink r:id="rId82" w:history="1">
              <w:r w:rsidRPr="003E7328">
                <w:rPr>
                  <w:rStyle w:val="Hyperlink"/>
                  <w:bCs/>
                  <w:lang w:val="en-US"/>
                </w:rPr>
                <w:t xml:space="preserve">Atrial septal defect closure with a </w:t>
              </w:r>
              <w:r w:rsidRPr="003E7328">
                <w:rPr>
                  <w:rStyle w:val="Hyperlink"/>
                  <w:bCs/>
                  <w:lang w:val="en-US"/>
                </w:rPr>
                <w:lastRenderedPageBreak/>
                <w:t>composite check-valved patch in pulmonary hypertensive patients</w:t>
              </w:r>
            </w:hyperlink>
            <w:r w:rsidRPr="003E7328">
              <w:rPr>
                <w:bCs/>
                <w:lang w:val="en-US"/>
              </w:rPr>
              <w:t xml:space="preserve">. </w:t>
            </w:r>
            <w:r w:rsidRPr="003E7328">
              <w:t xml:space="preserve"> </w:t>
            </w:r>
            <w:r w:rsidRPr="003E7328">
              <w:rPr>
                <w:color w:val="1A1A1A"/>
                <w:lang w:val="en-US"/>
              </w:rPr>
              <w:t xml:space="preserve">Interact Cardiovasc Thorac Surg. 2016;22(6):858-9.  </w:t>
            </w:r>
          </w:p>
        </w:tc>
        <w:tc>
          <w:tcPr>
            <w:tcW w:w="492" w:type="pct"/>
            <w:gridSpan w:val="2"/>
            <w:vAlign w:val="center"/>
          </w:tcPr>
          <w:p w14:paraId="48447117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79/126</w:t>
            </w:r>
          </w:p>
          <w:p w14:paraId="04B35FB8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706BB995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 xml:space="preserve"> 23</w:t>
            </w:r>
          </w:p>
          <w:p w14:paraId="6FBB7B9E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06824B39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>1.329</w:t>
            </w:r>
          </w:p>
          <w:p w14:paraId="4F8C6FB2" w14:textId="77777777" w:rsidR="00B64BF9" w:rsidRPr="003E7328" w:rsidRDefault="00B64BF9" w:rsidP="00B64BF9">
            <w:pPr>
              <w:jc w:val="center"/>
            </w:pPr>
            <w:r w:rsidRPr="003E7328">
              <w:lastRenderedPageBreak/>
              <w:t xml:space="preserve"> </w:t>
            </w:r>
          </w:p>
        </w:tc>
      </w:tr>
      <w:tr w:rsidR="00B64BF9" w:rsidRPr="00D8045D" w14:paraId="34E3AB02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B1D1575" w14:textId="418A5504" w:rsidR="00B64BF9" w:rsidRPr="003E7328" w:rsidRDefault="00B64BF9" w:rsidP="00B64BF9">
            <w:pPr>
              <w:jc w:val="center"/>
            </w:pPr>
            <w:r>
              <w:lastRenderedPageBreak/>
              <w:t>73.</w:t>
            </w:r>
          </w:p>
        </w:tc>
        <w:tc>
          <w:tcPr>
            <w:tcW w:w="3360" w:type="pct"/>
            <w:gridSpan w:val="7"/>
          </w:tcPr>
          <w:p w14:paraId="35CD0105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Rosi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M, Susak S, Red</w:t>
            </w:r>
            <w:r>
              <w:rPr>
                <w:lang w:val="en-US"/>
              </w:rPr>
              <w:t>ž</w:t>
            </w:r>
            <w:r w:rsidRPr="003E7328">
              <w:rPr>
                <w:lang w:val="en-US"/>
              </w:rPr>
              <w:t xml:space="preserve">ek A, 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83" w:history="1">
              <w:r w:rsidRPr="003E7328">
                <w:rPr>
                  <w:rStyle w:val="Hyperlink"/>
                  <w:lang w:val="en-US"/>
                </w:rPr>
                <w:t>Closure of an atrial septal defect with a one-way flap patch in a patient with severe pulmonary hypertension</w:t>
              </w:r>
            </w:hyperlink>
            <w:r w:rsidRPr="003E7328">
              <w:rPr>
                <w:lang w:val="en-US"/>
              </w:rPr>
              <w:t>. Interact Cardiovasc Thorac Surg. 2016;22(6):856-8.</w:t>
            </w:r>
          </w:p>
        </w:tc>
        <w:tc>
          <w:tcPr>
            <w:tcW w:w="492" w:type="pct"/>
            <w:gridSpan w:val="2"/>
            <w:vAlign w:val="center"/>
          </w:tcPr>
          <w:p w14:paraId="14ACFCA7" w14:textId="77777777" w:rsidR="00B64BF9" w:rsidRPr="003E7328" w:rsidRDefault="00B64BF9" w:rsidP="00B64BF9">
            <w:pPr>
              <w:jc w:val="center"/>
            </w:pPr>
            <w:r w:rsidRPr="003E7328">
              <w:t>79/126</w:t>
            </w:r>
          </w:p>
          <w:p w14:paraId="4B65525B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09" w:type="pct"/>
            <w:gridSpan w:val="2"/>
            <w:vAlign w:val="center"/>
          </w:tcPr>
          <w:p w14:paraId="09155609" w14:textId="77777777" w:rsidR="00B64BF9" w:rsidRPr="003E7328" w:rsidRDefault="00B64BF9" w:rsidP="00B64BF9">
            <w:pPr>
              <w:jc w:val="center"/>
            </w:pPr>
            <w:r w:rsidRPr="003E7328">
              <w:t xml:space="preserve"> 23</w:t>
            </w:r>
          </w:p>
          <w:p w14:paraId="12925D1B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140A9360" w14:textId="77777777" w:rsidR="00B64BF9" w:rsidRPr="003E7328" w:rsidRDefault="00B64BF9" w:rsidP="00B64BF9">
            <w:pPr>
              <w:jc w:val="center"/>
            </w:pPr>
            <w:r w:rsidRPr="003E7328">
              <w:t>1.329</w:t>
            </w:r>
          </w:p>
          <w:p w14:paraId="74C4970C" w14:textId="77777777" w:rsidR="00B64BF9" w:rsidRPr="003E7328" w:rsidRDefault="00B64BF9" w:rsidP="00B64BF9">
            <w:pPr>
              <w:jc w:val="center"/>
            </w:pPr>
            <w:r w:rsidRPr="003E7328">
              <w:t xml:space="preserve"> </w:t>
            </w:r>
          </w:p>
        </w:tc>
      </w:tr>
      <w:tr w:rsidR="00B64BF9" w:rsidRPr="00D8045D" w14:paraId="02242F53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1D244B1D" w14:textId="70FD00CF" w:rsidR="00B64BF9" w:rsidRPr="003E7328" w:rsidRDefault="00B64BF9" w:rsidP="00B64BF9">
            <w:pPr>
              <w:jc w:val="center"/>
            </w:pPr>
            <w:r>
              <w:t>74.</w:t>
            </w:r>
          </w:p>
        </w:tc>
        <w:tc>
          <w:tcPr>
            <w:tcW w:w="3360" w:type="pct"/>
            <w:gridSpan w:val="7"/>
          </w:tcPr>
          <w:p w14:paraId="146253C8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>, Stojakovi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N, Bosi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J, Mihajlovi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B. </w:t>
            </w:r>
            <w:hyperlink r:id="rId84" w:history="1">
              <w:r w:rsidRPr="003E7328">
                <w:rPr>
                  <w:rStyle w:val="Hyperlink"/>
                  <w:lang w:val="en-US"/>
                </w:rPr>
                <w:t>Relationship between prior PCI and subsequent CABG</w:t>
              </w:r>
            </w:hyperlink>
            <w:r w:rsidRPr="003E7328">
              <w:rPr>
                <w:lang w:val="en-US"/>
              </w:rPr>
              <w:t xml:space="preserve">. J Card Surg. 2015;30:894-5. </w:t>
            </w:r>
          </w:p>
        </w:tc>
        <w:tc>
          <w:tcPr>
            <w:tcW w:w="492" w:type="pct"/>
            <w:gridSpan w:val="2"/>
            <w:vAlign w:val="center"/>
          </w:tcPr>
          <w:p w14:paraId="1B34D4A2" w14:textId="77777777" w:rsidR="00B64BF9" w:rsidRPr="003E7328" w:rsidRDefault="00B64BF9" w:rsidP="00B64BF9">
            <w:pPr>
              <w:jc w:val="center"/>
            </w:pPr>
            <w:r w:rsidRPr="003E7328">
              <w:t>157/199</w:t>
            </w:r>
          </w:p>
        </w:tc>
        <w:tc>
          <w:tcPr>
            <w:tcW w:w="409" w:type="pct"/>
            <w:gridSpan w:val="2"/>
            <w:vAlign w:val="center"/>
          </w:tcPr>
          <w:p w14:paraId="54CE0E70" w14:textId="77777777" w:rsidR="00B64BF9" w:rsidRPr="003E7328" w:rsidRDefault="00B64BF9" w:rsidP="00B64BF9">
            <w:pPr>
              <w:jc w:val="center"/>
            </w:pPr>
            <w:r w:rsidRPr="003E7328">
              <w:t xml:space="preserve"> 26</w:t>
            </w:r>
          </w:p>
        </w:tc>
        <w:tc>
          <w:tcPr>
            <w:tcW w:w="493" w:type="pct"/>
            <w:vAlign w:val="center"/>
          </w:tcPr>
          <w:p w14:paraId="000CB263" w14:textId="77777777" w:rsidR="00B64BF9" w:rsidRPr="003E7328" w:rsidRDefault="00B64BF9" w:rsidP="00B64BF9">
            <w:pPr>
              <w:jc w:val="center"/>
            </w:pPr>
            <w:r w:rsidRPr="003E7328">
              <w:t>0.783</w:t>
            </w:r>
          </w:p>
        </w:tc>
      </w:tr>
      <w:tr w:rsidR="00B64BF9" w:rsidRPr="00D8045D" w14:paraId="7695D4BB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41382ED6" w14:textId="02381546" w:rsidR="00B64BF9" w:rsidRPr="003E7328" w:rsidRDefault="00B64BF9" w:rsidP="00B64BF9">
            <w:pPr>
              <w:jc w:val="center"/>
            </w:pPr>
            <w:r>
              <w:t>75.</w:t>
            </w:r>
          </w:p>
        </w:tc>
        <w:tc>
          <w:tcPr>
            <w:tcW w:w="3360" w:type="pct"/>
            <w:gridSpan w:val="7"/>
          </w:tcPr>
          <w:p w14:paraId="2369AB45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rPr>
                <w:lang w:val="en-US"/>
              </w:rPr>
              <w:t>Filipovi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N, Savelji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I, Nikoli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D, Milosevi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Z, Kovacevi</w:t>
            </w:r>
            <w:r>
              <w:rPr>
                <w:lang w:val="en-US"/>
              </w:rPr>
              <w:t>ć</w:t>
            </w:r>
            <w:r w:rsidRPr="003E7328">
              <w:rPr>
                <w:lang w:val="en-US"/>
              </w:rPr>
              <w:t xml:space="preserve"> P, </w:t>
            </w:r>
            <w:r w:rsidRPr="003E7328">
              <w:rPr>
                <w:b/>
                <w:lang w:val="en-US"/>
              </w:rPr>
              <w:t>Velicki L</w:t>
            </w:r>
            <w:r w:rsidRPr="003E7328">
              <w:rPr>
                <w:lang w:val="en-US"/>
              </w:rPr>
              <w:t xml:space="preserve">. </w:t>
            </w:r>
            <w:hyperlink r:id="rId85" w:history="1">
              <w:r w:rsidRPr="003E7328">
                <w:rPr>
                  <w:rStyle w:val="Hyperlink"/>
                  <w:lang w:val="en-US"/>
                </w:rPr>
                <w:t>Numerical simulation of blood flow and plaque progression in carotid-carotid bypass patient specific case</w:t>
              </w:r>
            </w:hyperlink>
            <w:r w:rsidRPr="003E7328">
              <w:rPr>
                <w:lang w:val="en-US"/>
              </w:rPr>
              <w:t>. Comput Aided Surg. 2015;20(1):1-6.</w:t>
            </w:r>
          </w:p>
        </w:tc>
        <w:tc>
          <w:tcPr>
            <w:tcW w:w="492" w:type="pct"/>
            <w:gridSpan w:val="2"/>
            <w:vAlign w:val="center"/>
          </w:tcPr>
          <w:p w14:paraId="27DC2A12" w14:textId="77777777" w:rsidR="00B64BF9" w:rsidRPr="003E7328" w:rsidRDefault="00B64BF9" w:rsidP="00B64BF9">
            <w:pPr>
              <w:jc w:val="center"/>
            </w:pPr>
            <w:r w:rsidRPr="003E7328">
              <w:t>174/199</w:t>
            </w:r>
          </w:p>
        </w:tc>
        <w:tc>
          <w:tcPr>
            <w:tcW w:w="409" w:type="pct"/>
            <w:gridSpan w:val="2"/>
            <w:vAlign w:val="center"/>
          </w:tcPr>
          <w:p w14:paraId="4446AA43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</w:tc>
        <w:tc>
          <w:tcPr>
            <w:tcW w:w="493" w:type="pct"/>
            <w:vAlign w:val="center"/>
          </w:tcPr>
          <w:p w14:paraId="65FEAF3E" w14:textId="77777777" w:rsidR="00B64BF9" w:rsidRPr="003E7328" w:rsidRDefault="00B64BF9" w:rsidP="00B64BF9">
            <w:pPr>
              <w:jc w:val="center"/>
            </w:pPr>
            <w:r w:rsidRPr="003E7328">
              <w:t>0.606</w:t>
            </w:r>
          </w:p>
        </w:tc>
      </w:tr>
      <w:tr w:rsidR="00B64BF9" w:rsidRPr="00D8045D" w14:paraId="3B5925B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D0F09C2" w14:textId="32D2B3A4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76.</w:t>
            </w:r>
          </w:p>
        </w:tc>
        <w:tc>
          <w:tcPr>
            <w:tcW w:w="3360" w:type="pct"/>
            <w:gridSpan w:val="7"/>
          </w:tcPr>
          <w:p w14:paraId="74F6532E" w14:textId="77777777" w:rsidR="00B64BF9" w:rsidRPr="003E7328" w:rsidRDefault="00B64BF9" w:rsidP="00B64BF9">
            <w:pPr>
              <w:jc w:val="both"/>
              <w:rPr>
                <w:lang w:val="en-US"/>
              </w:rPr>
            </w:pPr>
            <w:r w:rsidRPr="003E7328">
              <w:t>Vukicevi</w:t>
            </w:r>
            <w:r>
              <w:t>ć</w:t>
            </w:r>
            <w:r w:rsidRPr="003E7328">
              <w:t xml:space="preserve"> A, </w:t>
            </w:r>
            <w:r w:rsidRPr="003E7328">
              <w:rPr>
                <w:b/>
              </w:rPr>
              <w:t>Velicki L</w:t>
            </w:r>
            <w:r w:rsidRPr="003E7328">
              <w:t>, Jovi</w:t>
            </w:r>
            <w:r>
              <w:t>č</w:t>
            </w:r>
            <w:r w:rsidRPr="003E7328">
              <w:t>i</w:t>
            </w:r>
            <w:r>
              <w:t>ć</w:t>
            </w:r>
            <w:r w:rsidRPr="003E7328">
              <w:t xml:space="preserve"> G,  Jovi</w:t>
            </w:r>
            <w:r>
              <w:t>č</w:t>
            </w:r>
            <w:r w:rsidRPr="003E7328">
              <w:t>i</w:t>
            </w:r>
            <w:r>
              <w:t xml:space="preserve">ć </w:t>
            </w:r>
            <w:r w:rsidRPr="003E7328">
              <w:t>N, Stojadinovi</w:t>
            </w:r>
            <w:r>
              <w:t>ć</w:t>
            </w:r>
            <w:r w:rsidRPr="003E7328">
              <w:t xml:space="preserve"> M, Filipovi</w:t>
            </w:r>
            <w:r>
              <w:t>ć</w:t>
            </w:r>
            <w:r w:rsidRPr="003E7328">
              <w:t xml:space="preserve"> N.  </w:t>
            </w:r>
            <w:hyperlink r:id="rId86" w:history="1">
              <w:r w:rsidRPr="003E7328">
                <w:rPr>
                  <w:rStyle w:val="Hyperlink"/>
                </w:rPr>
                <w:t>Finite element analysis of uncommonly large renal arteriovenous malformation - Adjacent renal cyst complex</w:t>
              </w:r>
            </w:hyperlink>
            <w:r w:rsidRPr="003E7328">
              <w:t xml:space="preserve">. </w:t>
            </w:r>
            <w:r w:rsidRPr="003E7328">
              <w:rPr>
                <w:rStyle w:val="Strong"/>
                <w:b w:val="0"/>
              </w:rPr>
              <w:t>Comput</w:t>
            </w:r>
            <w:r w:rsidRPr="003E7328">
              <w:rPr>
                <w:b/>
              </w:rPr>
              <w:t xml:space="preserve"> </w:t>
            </w:r>
            <w:r w:rsidRPr="003E7328">
              <w:rPr>
                <w:rStyle w:val="Strong"/>
                <w:b w:val="0"/>
              </w:rPr>
              <w:t>Biol</w:t>
            </w:r>
            <w:r w:rsidRPr="003E7328">
              <w:rPr>
                <w:b/>
              </w:rPr>
              <w:t xml:space="preserve"> </w:t>
            </w:r>
            <w:r w:rsidRPr="003E7328">
              <w:t>Med. 2015;59:35-41.</w:t>
            </w:r>
            <w:r w:rsidRPr="003E7328">
              <w:rPr>
                <w:lang w:val="en-US"/>
              </w:rPr>
              <w:t xml:space="preserve"> </w:t>
            </w:r>
          </w:p>
        </w:tc>
        <w:tc>
          <w:tcPr>
            <w:tcW w:w="492" w:type="pct"/>
            <w:gridSpan w:val="2"/>
            <w:vAlign w:val="center"/>
          </w:tcPr>
          <w:p w14:paraId="28E207B8" w14:textId="77777777" w:rsidR="00B64BF9" w:rsidRPr="003E7328" w:rsidRDefault="00B64BF9" w:rsidP="00B64BF9">
            <w:pPr>
              <w:jc w:val="center"/>
            </w:pPr>
            <w:r w:rsidRPr="003E7328">
              <w:t>27/56</w:t>
            </w:r>
          </w:p>
        </w:tc>
        <w:tc>
          <w:tcPr>
            <w:tcW w:w="409" w:type="pct"/>
            <w:gridSpan w:val="2"/>
            <w:vAlign w:val="center"/>
          </w:tcPr>
          <w:p w14:paraId="024EE900" w14:textId="77777777" w:rsidR="00B64BF9" w:rsidRPr="003E7328" w:rsidRDefault="00B64BF9" w:rsidP="00B64BF9">
            <w:pPr>
              <w:jc w:val="center"/>
            </w:pPr>
            <w:r w:rsidRPr="003E7328">
              <w:t>22</w:t>
            </w:r>
          </w:p>
        </w:tc>
        <w:tc>
          <w:tcPr>
            <w:tcW w:w="493" w:type="pct"/>
            <w:vAlign w:val="center"/>
          </w:tcPr>
          <w:p w14:paraId="284D5F98" w14:textId="77777777" w:rsidR="00B64BF9" w:rsidRPr="003E7328" w:rsidRDefault="00B64BF9" w:rsidP="00B64BF9">
            <w:pPr>
              <w:jc w:val="center"/>
            </w:pPr>
            <w:r w:rsidRPr="003E7328">
              <w:t>1.521</w:t>
            </w:r>
          </w:p>
        </w:tc>
      </w:tr>
      <w:tr w:rsidR="00B64BF9" w:rsidRPr="00D8045D" w14:paraId="694FE746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66087947" w14:textId="0548A346" w:rsidR="00B64BF9" w:rsidRPr="003E7328" w:rsidRDefault="00B64BF9" w:rsidP="00B64B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</w:t>
            </w:r>
          </w:p>
        </w:tc>
        <w:tc>
          <w:tcPr>
            <w:tcW w:w="3360" w:type="pct"/>
            <w:gridSpan w:val="7"/>
          </w:tcPr>
          <w:p w14:paraId="6E21818A" w14:textId="77777777" w:rsidR="00B64BF9" w:rsidRPr="003E7328" w:rsidRDefault="00B64BF9" w:rsidP="00B64BF9">
            <w:pPr>
              <w:jc w:val="both"/>
            </w:pPr>
            <w:r w:rsidRPr="003E7328">
              <w:t>Redžek A, Mironicki M, Gvozdenović A, Petrović M, Čemerlić-Ađić N</w:t>
            </w:r>
            <w:r>
              <w:t>, et al...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87" w:history="1">
              <w:r w:rsidRPr="003E7328">
                <w:rPr>
                  <w:rStyle w:val="Hyperlink"/>
                </w:rPr>
                <w:t>Predictors for hospital readmission after cardiac surgery</w:t>
              </w:r>
            </w:hyperlink>
            <w:r w:rsidRPr="003E7328">
              <w:t>. J Card Surg. 2015;30(1):1-6.</w:t>
            </w:r>
          </w:p>
        </w:tc>
        <w:tc>
          <w:tcPr>
            <w:tcW w:w="492" w:type="pct"/>
            <w:gridSpan w:val="2"/>
            <w:vAlign w:val="center"/>
          </w:tcPr>
          <w:p w14:paraId="167388CA" w14:textId="77777777" w:rsidR="00B64BF9" w:rsidRPr="003E7328" w:rsidRDefault="00B64BF9" w:rsidP="00B64BF9">
            <w:pPr>
              <w:jc w:val="center"/>
            </w:pPr>
            <w:r w:rsidRPr="003E7328">
              <w:t>157/199</w:t>
            </w:r>
          </w:p>
        </w:tc>
        <w:tc>
          <w:tcPr>
            <w:tcW w:w="409" w:type="pct"/>
            <w:gridSpan w:val="2"/>
            <w:vAlign w:val="center"/>
          </w:tcPr>
          <w:p w14:paraId="69537862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</w:tc>
        <w:tc>
          <w:tcPr>
            <w:tcW w:w="493" w:type="pct"/>
            <w:vAlign w:val="center"/>
          </w:tcPr>
          <w:p w14:paraId="423E40FC" w14:textId="77777777" w:rsidR="00B64BF9" w:rsidRPr="003E7328" w:rsidRDefault="00B64BF9" w:rsidP="00B64BF9">
            <w:pPr>
              <w:jc w:val="center"/>
            </w:pPr>
            <w:r w:rsidRPr="003E7328">
              <w:t>0.783</w:t>
            </w:r>
          </w:p>
        </w:tc>
      </w:tr>
      <w:tr w:rsidR="00B64BF9" w:rsidRPr="00D8045D" w14:paraId="1064E4E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39685F91" w14:textId="49F5201B" w:rsidR="00B64BF9" w:rsidRPr="003E7328" w:rsidRDefault="00B64BF9" w:rsidP="00B64BF9">
            <w:pPr>
              <w:jc w:val="center"/>
            </w:pPr>
            <w:r>
              <w:t>78.</w:t>
            </w:r>
          </w:p>
        </w:tc>
        <w:tc>
          <w:tcPr>
            <w:tcW w:w="3360" w:type="pct"/>
            <w:gridSpan w:val="7"/>
          </w:tcPr>
          <w:p w14:paraId="7427102B" w14:textId="77777777" w:rsidR="00B64BF9" w:rsidRPr="003E7328" w:rsidRDefault="00B64BF9" w:rsidP="00B64BF9">
            <w:pPr>
              <w:jc w:val="both"/>
              <w:rPr>
                <w:b/>
              </w:rPr>
            </w:pPr>
            <w:r w:rsidRPr="003E7328">
              <w:rPr>
                <w:b/>
              </w:rPr>
              <w:t>Velicki L</w:t>
            </w:r>
            <w:r w:rsidRPr="003E7328">
              <w:t xml:space="preserve">, </w:t>
            </w:r>
            <w:r>
              <w:t>Č</w:t>
            </w:r>
            <w:r w:rsidRPr="003E7328">
              <w:t>emerli</w:t>
            </w:r>
            <w:r>
              <w:t>ć-Ađ</w:t>
            </w:r>
            <w:r w:rsidRPr="003E7328">
              <w:t>i</w:t>
            </w:r>
            <w:r>
              <w:t>ć</w:t>
            </w:r>
            <w:r w:rsidRPr="003E7328">
              <w:t xml:space="preserve"> N, Pavlovi</w:t>
            </w:r>
            <w:r>
              <w:t>ć</w:t>
            </w:r>
            <w:r w:rsidRPr="003E7328">
              <w:t xml:space="preserve"> K, Mihajlovi</w:t>
            </w:r>
            <w:r>
              <w:t>ć</w:t>
            </w:r>
            <w:r w:rsidRPr="003E7328">
              <w:t xml:space="preserve"> BB, Bankovi</w:t>
            </w:r>
            <w:r>
              <w:t>ć</w:t>
            </w:r>
            <w:r w:rsidRPr="003E7328">
              <w:t xml:space="preserve"> D, Mihajlovi</w:t>
            </w:r>
            <w:r>
              <w:t>ć</w:t>
            </w:r>
            <w:r w:rsidRPr="003E7328">
              <w:t xml:space="preserve"> B, </w:t>
            </w:r>
            <w:r>
              <w:t>et al</w:t>
            </w:r>
            <w:r w:rsidRPr="003E7328">
              <w:t>. Clinical performances of the EuroSCORE II Risk Stratification Model compared with Old EuroSCORE Models Reply. Reply by the authors of the original article. Thorac Cardiovasc Surg. 2014;62(7):635-6.</w:t>
            </w:r>
          </w:p>
        </w:tc>
        <w:tc>
          <w:tcPr>
            <w:tcW w:w="492" w:type="pct"/>
            <w:gridSpan w:val="2"/>
            <w:vAlign w:val="center"/>
          </w:tcPr>
          <w:p w14:paraId="19A4414D" w14:textId="77777777" w:rsidR="00B64BF9" w:rsidRPr="003E7328" w:rsidRDefault="00B64BF9" w:rsidP="00B64BF9">
            <w:pPr>
              <w:jc w:val="center"/>
            </w:pPr>
            <w:r w:rsidRPr="003E7328">
              <w:t>102/123</w:t>
            </w:r>
          </w:p>
        </w:tc>
        <w:tc>
          <w:tcPr>
            <w:tcW w:w="409" w:type="pct"/>
            <w:gridSpan w:val="2"/>
            <w:vAlign w:val="center"/>
          </w:tcPr>
          <w:p w14:paraId="4D69EE3B" w14:textId="77777777" w:rsidR="00B64BF9" w:rsidRPr="003E7328" w:rsidRDefault="00B64BF9" w:rsidP="00B64BF9">
            <w:pPr>
              <w:jc w:val="center"/>
            </w:pPr>
          </w:p>
          <w:p w14:paraId="73E51D4E" w14:textId="77777777" w:rsidR="00B64BF9" w:rsidRPr="003E7328" w:rsidRDefault="00B64BF9" w:rsidP="00B64BF9">
            <w:pPr>
              <w:jc w:val="center"/>
            </w:pPr>
            <w:r w:rsidRPr="003E7328">
              <w:t>26</w:t>
            </w:r>
          </w:p>
          <w:p w14:paraId="37A22B4D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63640D73" w14:textId="77777777" w:rsidR="00B64BF9" w:rsidRPr="003E7328" w:rsidRDefault="00B64BF9" w:rsidP="00B64BF9">
            <w:pPr>
              <w:jc w:val="center"/>
            </w:pPr>
            <w:r w:rsidRPr="003E7328">
              <w:t>0.979</w:t>
            </w:r>
          </w:p>
        </w:tc>
      </w:tr>
      <w:tr w:rsidR="00B64BF9" w:rsidRPr="00D8045D" w14:paraId="067A9FC0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09AD0EAA" w14:textId="5AA816A2" w:rsidR="00B64BF9" w:rsidRPr="003E7328" w:rsidRDefault="00B64BF9" w:rsidP="00B64BF9">
            <w:pPr>
              <w:jc w:val="center"/>
            </w:pPr>
            <w:r>
              <w:t>79.</w:t>
            </w:r>
          </w:p>
        </w:tc>
        <w:tc>
          <w:tcPr>
            <w:tcW w:w="3360" w:type="pct"/>
            <w:gridSpan w:val="7"/>
          </w:tcPr>
          <w:p w14:paraId="4F184674" w14:textId="77777777" w:rsidR="00B64BF9" w:rsidRPr="003E7328" w:rsidRDefault="00B64BF9" w:rsidP="00B64BF9">
            <w:pPr>
              <w:jc w:val="both"/>
            </w:pPr>
            <w:r w:rsidRPr="003E7328">
              <w:rPr>
                <w:b/>
              </w:rPr>
              <w:t>Velicki L</w:t>
            </w:r>
            <w:r w:rsidRPr="003E7328">
              <w:t xml:space="preserve">, </w:t>
            </w:r>
            <w:r>
              <w:t>Č</w:t>
            </w:r>
            <w:r w:rsidRPr="003E7328">
              <w:t>emerli</w:t>
            </w:r>
            <w:r>
              <w:t>ć-Ađ</w:t>
            </w:r>
            <w:r w:rsidRPr="003E7328">
              <w:t>i</w:t>
            </w:r>
            <w:r>
              <w:t>ć</w:t>
            </w:r>
            <w:r w:rsidRPr="003E7328">
              <w:t xml:space="preserve"> N, Pavlovi</w:t>
            </w:r>
            <w:r>
              <w:t>ć</w:t>
            </w:r>
            <w:r w:rsidRPr="003E7328">
              <w:t xml:space="preserve"> K, Mihajlovi</w:t>
            </w:r>
            <w:r>
              <w:t>ć</w:t>
            </w:r>
            <w:r w:rsidRPr="003E7328">
              <w:t xml:space="preserve"> BB, Bankovi</w:t>
            </w:r>
            <w:r>
              <w:t>ć</w:t>
            </w:r>
            <w:r w:rsidRPr="003E7328">
              <w:t xml:space="preserve"> D, Mihajlovi</w:t>
            </w:r>
            <w:r>
              <w:t>ć</w:t>
            </w:r>
            <w:r w:rsidRPr="003E7328">
              <w:t xml:space="preserve"> B, </w:t>
            </w:r>
            <w:r>
              <w:t>et al.</w:t>
            </w:r>
            <w:r w:rsidRPr="003E7328">
              <w:t xml:space="preserve"> </w:t>
            </w:r>
            <w:hyperlink r:id="rId88" w:history="1">
              <w:r w:rsidRPr="00913549">
                <w:rPr>
                  <w:rStyle w:val="Hyperlink"/>
                </w:rPr>
                <w:t>Clinical performance of the EuroSCORE II compared with the previous EuroSCORE iterations.</w:t>
              </w:r>
            </w:hyperlink>
            <w:r w:rsidRPr="003E7328">
              <w:t xml:space="preserve"> Thorac Cardiovasc Surg. 2014;62:288-97.</w:t>
            </w:r>
          </w:p>
        </w:tc>
        <w:tc>
          <w:tcPr>
            <w:tcW w:w="492" w:type="pct"/>
            <w:gridSpan w:val="2"/>
            <w:vAlign w:val="center"/>
          </w:tcPr>
          <w:p w14:paraId="7153C0E8" w14:textId="77777777" w:rsidR="00B64BF9" w:rsidRPr="003E7328" w:rsidRDefault="00B64BF9" w:rsidP="00B64BF9">
            <w:pPr>
              <w:jc w:val="center"/>
            </w:pPr>
            <w:r w:rsidRPr="003E7328">
              <w:t>102/123</w:t>
            </w:r>
          </w:p>
        </w:tc>
        <w:tc>
          <w:tcPr>
            <w:tcW w:w="409" w:type="pct"/>
            <w:gridSpan w:val="2"/>
            <w:vAlign w:val="center"/>
          </w:tcPr>
          <w:p w14:paraId="351C6C48" w14:textId="77777777" w:rsidR="00B64BF9" w:rsidRPr="003E7328" w:rsidRDefault="00B64BF9" w:rsidP="00B64BF9">
            <w:pPr>
              <w:jc w:val="center"/>
            </w:pPr>
          </w:p>
          <w:p w14:paraId="1E72E47E" w14:textId="77777777" w:rsidR="00B64BF9" w:rsidRPr="003E7328" w:rsidRDefault="00B64BF9" w:rsidP="00B64BF9">
            <w:pPr>
              <w:jc w:val="center"/>
            </w:pPr>
            <w:r w:rsidRPr="003E7328">
              <w:t>23</w:t>
            </w:r>
          </w:p>
          <w:p w14:paraId="38B4838D" w14:textId="77777777" w:rsidR="00B64BF9" w:rsidRPr="003E7328" w:rsidRDefault="00B64BF9" w:rsidP="00B64BF9">
            <w:pPr>
              <w:jc w:val="center"/>
            </w:pPr>
          </w:p>
        </w:tc>
        <w:tc>
          <w:tcPr>
            <w:tcW w:w="493" w:type="pct"/>
            <w:vAlign w:val="center"/>
          </w:tcPr>
          <w:p w14:paraId="00278088" w14:textId="77777777" w:rsidR="00B64BF9" w:rsidRPr="003E7328" w:rsidRDefault="00B64BF9" w:rsidP="00B64BF9">
            <w:pPr>
              <w:jc w:val="center"/>
            </w:pPr>
            <w:r w:rsidRPr="003E7328">
              <w:t>0.979</w:t>
            </w:r>
          </w:p>
        </w:tc>
      </w:tr>
      <w:tr w:rsidR="00B64BF9" w:rsidRPr="00D8045D" w14:paraId="56F96D38" w14:textId="77777777" w:rsidTr="00D736DA">
        <w:trPr>
          <w:trHeight w:val="227"/>
          <w:jc w:val="center"/>
        </w:trPr>
        <w:tc>
          <w:tcPr>
            <w:tcW w:w="246" w:type="pct"/>
            <w:vAlign w:val="center"/>
          </w:tcPr>
          <w:p w14:paraId="294F4106" w14:textId="17B2DDE8" w:rsidR="00B64BF9" w:rsidRPr="003E7328" w:rsidRDefault="00B64BF9" w:rsidP="00B64BF9">
            <w:pPr>
              <w:jc w:val="center"/>
            </w:pPr>
            <w:r>
              <w:t>80.</w:t>
            </w:r>
          </w:p>
        </w:tc>
        <w:tc>
          <w:tcPr>
            <w:tcW w:w="3360" w:type="pct"/>
            <w:gridSpan w:val="7"/>
          </w:tcPr>
          <w:p w14:paraId="607E54D6" w14:textId="77777777" w:rsidR="00B64BF9" w:rsidRPr="003E7328" w:rsidRDefault="00B64BF9" w:rsidP="00B64BF9">
            <w:pPr>
              <w:jc w:val="both"/>
            </w:pPr>
            <w:r w:rsidRPr="003E7328">
              <w:t xml:space="preserve">Čemerlić-Ađić N, Pavlović K, Jevtić M, Velicki R, Kostovski S, </w:t>
            </w:r>
            <w:r w:rsidRPr="003E7328">
              <w:rPr>
                <w:b/>
              </w:rPr>
              <w:t>Velicki L</w:t>
            </w:r>
            <w:r w:rsidRPr="003E7328">
              <w:t xml:space="preserve">. </w:t>
            </w:r>
            <w:hyperlink r:id="rId89" w:history="1">
              <w:r w:rsidRPr="003E7328">
                <w:rPr>
                  <w:rStyle w:val="Hyperlink"/>
                </w:rPr>
                <w:t>The impact of obesity on early mortality after coronary artery bypass grafting</w:t>
              </w:r>
            </w:hyperlink>
            <w:r w:rsidRPr="003E7328">
              <w:t>. Vojnosanit Pregl. 2014;71(1):27-32.</w:t>
            </w:r>
          </w:p>
        </w:tc>
        <w:tc>
          <w:tcPr>
            <w:tcW w:w="492" w:type="pct"/>
            <w:gridSpan w:val="2"/>
            <w:vAlign w:val="center"/>
          </w:tcPr>
          <w:p w14:paraId="69897E9A" w14:textId="77777777" w:rsidR="00B64BF9" w:rsidRPr="003E7328" w:rsidRDefault="00B64BF9" w:rsidP="00B64BF9">
            <w:pPr>
              <w:jc w:val="center"/>
            </w:pPr>
            <w:r w:rsidRPr="003E7328">
              <w:t>141/154</w:t>
            </w:r>
          </w:p>
        </w:tc>
        <w:tc>
          <w:tcPr>
            <w:tcW w:w="409" w:type="pct"/>
            <w:gridSpan w:val="2"/>
            <w:vAlign w:val="center"/>
          </w:tcPr>
          <w:p w14:paraId="5ACACED5" w14:textId="77777777" w:rsidR="00B64BF9" w:rsidRPr="003E7328" w:rsidRDefault="00B64BF9" w:rsidP="00B64BF9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493" w:type="pct"/>
            <w:vAlign w:val="center"/>
          </w:tcPr>
          <w:p w14:paraId="316DA902" w14:textId="77777777" w:rsidR="00B64BF9" w:rsidRPr="003E7328" w:rsidRDefault="00B64BF9" w:rsidP="00B64BF9">
            <w:pPr>
              <w:jc w:val="center"/>
            </w:pPr>
            <w:r w:rsidRPr="003E7328">
              <w:t>0.292</w:t>
            </w:r>
          </w:p>
        </w:tc>
      </w:tr>
      <w:tr w:rsidR="00B64BF9" w:rsidRPr="00D8045D" w14:paraId="5C96A900" w14:textId="77777777" w:rsidTr="00D736D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DFDFBA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64BF9" w:rsidRPr="00D8045D" w14:paraId="48A6CD22" w14:textId="77777777" w:rsidTr="00D736DA">
        <w:trPr>
          <w:trHeight w:val="227"/>
          <w:jc w:val="center"/>
        </w:trPr>
        <w:tc>
          <w:tcPr>
            <w:tcW w:w="2303" w:type="pct"/>
            <w:gridSpan w:val="4"/>
            <w:vAlign w:val="center"/>
          </w:tcPr>
          <w:p w14:paraId="1ADE5B50" w14:textId="77777777" w:rsidR="00B64BF9" w:rsidRPr="00D8045D" w:rsidRDefault="00B64BF9" w:rsidP="00B64BF9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97" w:type="pct"/>
            <w:gridSpan w:val="9"/>
            <w:vAlign w:val="center"/>
          </w:tcPr>
          <w:p w14:paraId="5F61DEA2" w14:textId="77777777" w:rsidR="00B64BF9" w:rsidRPr="00101F6E" w:rsidRDefault="00B64BF9" w:rsidP="00B64BF9">
            <w:pPr>
              <w:spacing w:after="60"/>
            </w:pPr>
            <w:r>
              <w:t>1263</w:t>
            </w:r>
          </w:p>
        </w:tc>
      </w:tr>
      <w:tr w:rsidR="00B64BF9" w:rsidRPr="00D8045D" w14:paraId="382F567F" w14:textId="77777777" w:rsidTr="00D736DA">
        <w:trPr>
          <w:trHeight w:val="227"/>
          <w:jc w:val="center"/>
        </w:trPr>
        <w:tc>
          <w:tcPr>
            <w:tcW w:w="2303" w:type="pct"/>
            <w:gridSpan w:val="4"/>
            <w:vAlign w:val="center"/>
          </w:tcPr>
          <w:p w14:paraId="42187ADA" w14:textId="77777777" w:rsidR="00B64BF9" w:rsidRPr="00D8045D" w:rsidRDefault="00B64BF9" w:rsidP="00B64BF9">
            <w:pPr>
              <w:spacing w:after="60"/>
              <w:rPr>
                <w:lang w:val="sr-Cyrl-CS"/>
              </w:rPr>
            </w:pPr>
            <w:r w:rsidRPr="00D8045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97" w:type="pct"/>
            <w:gridSpan w:val="9"/>
            <w:vAlign w:val="center"/>
          </w:tcPr>
          <w:p w14:paraId="402DCD72" w14:textId="170BB1B7" w:rsidR="00B64BF9" w:rsidRPr="00312C68" w:rsidRDefault="00B64BF9" w:rsidP="00B64BF9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B64BF9" w:rsidRPr="00D8045D" w14:paraId="2FB33050" w14:textId="77777777" w:rsidTr="00D736DA">
        <w:trPr>
          <w:trHeight w:val="227"/>
          <w:jc w:val="center"/>
        </w:trPr>
        <w:tc>
          <w:tcPr>
            <w:tcW w:w="2303" w:type="pct"/>
            <w:gridSpan w:val="4"/>
            <w:vAlign w:val="center"/>
          </w:tcPr>
          <w:p w14:paraId="0B1615F0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97" w:type="pct"/>
            <w:gridSpan w:val="3"/>
            <w:vAlign w:val="center"/>
          </w:tcPr>
          <w:p w14:paraId="69545CD2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lang w:val="sr-Cyrl-CS"/>
              </w:rPr>
              <w:t>Домаћи: 2</w:t>
            </w:r>
          </w:p>
        </w:tc>
        <w:tc>
          <w:tcPr>
            <w:tcW w:w="1600" w:type="pct"/>
            <w:gridSpan w:val="6"/>
            <w:vAlign w:val="center"/>
          </w:tcPr>
          <w:p w14:paraId="6479CCD0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lang w:val="sr-Cyrl-CS"/>
              </w:rPr>
              <w:t>Међународни: 1</w:t>
            </w:r>
          </w:p>
        </w:tc>
      </w:tr>
      <w:tr w:rsidR="00B64BF9" w:rsidRPr="00D8045D" w14:paraId="536A6F38" w14:textId="77777777" w:rsidTr="00D736DA">
        <w:trPr>
          <w:trHeight w:val="227"/>
          <w:jc w:val="center"/>
        </w:trPr>
        <w:tc>
          <w:tcPr>
            <w:tcW w:w="2303" w:type="pct"/>
            <w:gridSpan w:val="4"/>
            <w:vAlign w:val="center"/>
          </w:tcPr>
          <w:p w14:paraId="0851445C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lang w:val="sr-Cyrl-CS"/>
              </w:rPr>
              <w:t>Усавршавања</w:t>
            </w:r>
          </w:p>
        </w:tc>
        <w:tc>
          <w:tcPr>
            <w:tcW w:w="2697" w:type="pct"/>
            <w:gridSpan w:val="9"/>
          </w:tcPr>
          <w:p w14:paraId="30B821FD" w14:textId="77777777" w:rsidR="00B64BF9" w:rsidRDefault="00B64BF9" w:rsidP="00B64BF9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D8045D">
              <w:rPr>
                <w:lang w:val="sr-Cyrl-CS"/>
              </w:rPr>
              <w:t>Fulbright Visiting Scholar 2012-13 (Texas Heart Institute, Houston, USA)</w:t>
            </w:r>
          </w:p>
          <w:p w14:paraId="22FCB2F7" w14:textId="77777777" w:rsidR="00B64BF9" w:rsidRPr="00D8045D" w:rsidRDefault="00B64BF9" w:rsidP="00B64BF9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D8045D">
              <w:rPr>
                <w:lang w:val="sr-Cyrl-CS"/>
              </w:rPr>
              <w:t>Exchange visiting staff 2016-17 (Songkhla University, Hat Yai, Thailand)</w:t>
            </w:r>
          </w:p>
        </w:tc>
      </w:tr>
      <w:tr w:rsidR="00B64BF9" w:rsidRPr="00D8045D" w14:paraId="16A01F8E" w14:textId="77777777" w:rsidTr="00D736DA">
        <w:trPr>
          <w:trHeight w:val="227"/>
          <w:jc w:val="center"/>
        </w:trPr>
        <w:tc>
          <w:tcPr>
            <w:tcW w:w="2303" w:type="pct"/>
            <w:gridSpan w:val="4"/>
            <w:vAlign w:val="center"/>
          </w:tcPr>
          <w:p w14:paraId="353987BE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  <w:r w:rsidRPr="00D8045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97" w:type="pct"/>
            <w:gridSpan w:val="9"/>
            <w:vAlign w:val="center"/>
          </w:tcPr>
          <w:p w14:paraId="7B195A0A" w14:textId="77777777" w:rsidR="00B64BF9" w:rsidRPr="00D8045D" w:rsidRDefault="00B64BF9" w:rsidP="00B64BF9">
            <w:pPr>
              <w:spacing w:after="60"/>
              <w:rPr>
                <w:b/>
                <w:lang w:val="sr-Cyrl-CS"/>
              </w:rPr>
            </w:pPr>
          </w:p>
        </w:tc>
      </w:tr>
    </w:tbl>
    <w:p w14:paraId="17E7500C" w14:textId="77777777" w:rsidR="001543AE" w:rsidRPr="00441250" w:rsidRDefault="001543AE" w:rsidP="001543AE">
      <w:pPr>
        <w:rPr>
          <w:sz w:val="6"/>
          <w:szCs w:val="6"/>
        </w:rPr>
      </w:pPr>
    </w:p>
    <w:p w14:paraId="1FF69E7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1409D"/>
    <w:multiLevelType w:val="hybridMultilevel"/>
    <w:tmpl w:val="26482042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16D3"/>
    <w:rsid w:val="00054538"/>
    <w:rsid w:val="000B0E36"/>
    <w:rsid w:val="000B5AC1"/>
    <w:rsid w:val="000B7F6F"/>
    <w:rsid w:val="000F40DD"/>
    <w:rsid w:val="00101F6E"/>
    <w:rsid w:val="00112F42"/>
    <w:rsid w:val="001543AE"/>
    <w:rsid w:val="001A780F"/>
    <w:rsid w:val="001C0F35"/>
    <w:rsid w:val="001E3A3B"/>
    <w:rsid w:val="001E5F9E"/>
    <w:rsid w:val="00204EBA"/>
    <w:rsid w:val="0020781F"/>
    <w:rsid w:val="0021123E"/>
    <w:rsid w:val="0026636B"/>
    <w:rsid w:val="002D1314"/>
    <w:rsid w:val="002D4F80"/>
    <w:rsid w:val="002F4310"/>
    <w:rsid w:val="002F6C0D"/>
    <w:rsid w:val="00306210"/>
    <w:rsid w:val="00312C68"/>
    <w:rsid w:val="0031667F"/>
    <w:rsid w:val="003311A2"/>
    <w:rsid w:val="003335BF"/>
    <w:rsid w:val="003446EE"/>
    <w:rsid w:val="0034573B"/>
    <w:rsid w:val="003A6F09"/>
    <w:rsid w:val="003C7466"/>
    <w:rsid w:val="003D2355"/>
    <w:rsid w:val="003E7328"/>
    <w:rsid w:val="003F177B"/>
    <w:rsid w:val="00431E99"/>
    <w:rsid w:val="004476DF"/>
    <w:rsid w:val="00450827"/>
    <w:rsid w:val="0046340C"/>
    <w:rsid w:val="00466464"/>
    <w:rsid w:val="00484836"/>
    <w:rsid w:val="004E685F"/>
    <w:rsid w:val="00505413"/>
    <w:rsid w:val="0055526C"/>
    <w:rsid w:val="005575CB"/>
    <w:rsid w:val="005B6DDC"/>
    <w:rsid w:val="006454E2"/>
    <w:rsid w:val="00664AF9"/>
    <w:rsid w:val="00666283"/>
    <w:rsid w:val="006A5C1A"/>
    <w:rsid w:val="006B46C5"/>
    <w:rsid w:val="006C2C80"/>
    <w:rsid w:val="006F1B88"/>
    <w:rsid w:val="00704375"/>
    <w:rsid w:val="00743DFE"/>
    <w:rsid w:val="00753D38"/>
    <w:rsid w:val="00774809"/>
    <w:rsid w:val="007A5A4B"/>
    <w:rsid w:val="007B452E"/>
    <w:rsid w:val="007B4A02"/>
    <w:rsid w:val="007E5D00"/>
    <w:rsid w:val="008323AD"/>
    <w:rsid w:val="008715C6"/>
    <w:rsid w:val="00874FA5"/>
    <w:rsid w:val="008837C3"/>
    <w:rsid w:val="00884D56"/>
    <w:rsid w:val="008D14F7"/>
    <w:rsid w:val="00913549"/>
    <w:rsid w:val="009157C7"/>
    <w:rsid w:val="009A7403"/>
    <w:rsid w:val="009B5FC1"/>
    <w:rsid w:val="009B6328"/>
    <w:rsid w:val="00A07961"/>
    <w:rsid w:val="00A13F13"/>
    <w:rsid w:val="00A466FB"/>
    <w:rsid w:val="00A52D6E"/>
    <w:rsid w:val="00A53027"/>
    <w:rsid w:val="00A73EC1"/>
    <w:rsid w:val="00A82903"/>
    <w:rsid w:val="00A829DA"/>
    <w:rsid w:val="00A85D19"/>
    <w:rsid w:val="00A96A06"/>
    <w:rsid w:val="00B01B32"/>
    <w:rsid w:val="00B07854"/>
    <w:rsid w:val="00B2593D"/>
    <w:rsid w:val="00B33B8C"/>
    <w:rsid w:val="00B4794A"/>
    <w:rsid w:val="00B56CE3"/>
    <w:rsid w:val="00B64BF9"/>
    <w:rsid w:val="00B806D1"/>
    <w:rsid w:val="00B82521"/>
    <w:rsid w:val="00BE19C0"/>
    <w:rsid w:val="00BF0E43"/>
    <w:rsid w:val="00C468EE"/>
    <w:rsid w:val="00C51C94"/>
    <w:rsid w:val="00C834B1"/>
    <w:rsid w:val="00C86A7A"/>
    <w:rsid w:val="00D736DA"/>
    <w:rsid w:val="00D8045D"/>
    <w:rsid w:val="00DF4E69"/>
    <w:rsid w:val="00E44E5D"/>
    <w:rsid w:val="00E54327"/>
    <w:rsid w:val="00E81B07"/>
    <w:rsid w:val="00E84609"/>
    <w:rsid w:val="00EA1F89"/>
    <w:rsid w:val="00EA569F"/>
    <w:rsid w:val="00ED1DBB"/>
    <w:rsid w:val="00EF6C1B"/>
    <w:rsid w:val="00F07FC5"/>
    <w:rsid w:val="00F35CA1"/>
    <w:rsid w:val="00F57816"/>
    <w:rsid w:val="00F80FF6"/>
    <w:rsid w:val="00FC3B52"/>
    <w:rsid w:val="00FC5895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293"/>
  <w15:docId w15:val="{B7EBD059-263B-4A56-80A9-3263508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0016D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35BF"/>
    <w:rPr>
      <w:color w:val="800080" w:themeColor="followedHyperlink"/>
      <w:u w:val="single"/>
    </w:rPr>
  </w:style>
  <w:style w:type="character" w:customStyle="1" w:styleId="jrnl">
    <w:name w:val="jrnl"/>
    <w:basedOn w:val="DefaultParagraphFont"/>
    <w:rsid w:val="009B6328"/>
  </w:style>
  <w:style w:type="character" w:styleId="Strong">
    <w:name w:val="Strong"/>
    <w:uiPriority w:val="22"/>
    <w:qFormat/>
    <w:rsid w:val="009B6328"/>
    <w:rPr>
      <w:b/>
      <w:bCs/>
    </w:rPr>
  </w:style>
  <w:style w:type="paragraph" w:customStyle="1" w:styleId="Default">
    <w:name w:val="Default"/>
    <w:rsid w:val="009B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9B6328"/>
  </w:style>
  <w:style w:type="character" w:customStyle="1" w:styleId="Heading1Char">
    <w:name w:val="Heading 1 Char"/>
    <w:basedOn w:val="DefaultParagraphFont"/>
    <w:link w:val="Heading1"/>
    <w:uiPriority w:val="9"/>
    <w:rsid w:val="00001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DefaultParagraphFont"/>
    <w:rsid w:val="000016D3"/>
  </w:style>
  <w:style w:type="character" w:customStyle="1" w:styleId="author-sup-separator">
    <w:name w:val="author-sup-separator"/>
    <w:basedOn w:val="DefaultParagraphFont"/>
    <w:rsid w:val="000016D3"/>
  </w:style>
  <w:style w:type="character" w:customStyle="1" w:styleId="comma">
    <w:name w:val="comma"/>
    <w:basedOn w:val="DefaultParagraphFont"/>
    <w:rsid w:val="000016D3"/>
  </w:style>
  <w:style w:type="character" w:customStyle="1" w:styleId="standard-view-style">
    <w:name w:val="standard-view-style"/>
    <w:basedOn w:val="DefaultParagraphFont"/>
    <w:rsid w:val="00D736DA"/>
  </w:style>
  <w:style w:type="character" w:customStyle="1" w:styleId="markedcontent">
    <w:name w:val="markedcontent"/>
    <w:basedOn w:val="DefaultParagraphFont"/>
    <w:rsid w:val="008D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1648-9144/59/7/1213" TargetMode="External"/><Relationship Id="rId18" Type="http://schemas.openxmlformats.org/officeDocument/2006/relationships/hyperlink" Target="https://www.mdpi.com/2077-0383/12/2/706" TargetMode="External"/><Relationship Id="rId26" Type="http://schemas.openxmlformats.org/officeDocument/2006/relationships/hyperlink" Target="http://www.doiserbia.nb.rs/img/doi/0370-8179/2022/0370-81792200038S.pdf" TargetMode="External"/><Relationship Id="rId39" Type="http://schemas.openxmlformats.org/officeDocument/2006/relationships/hyperlink" Target="https://www.thelancet.com/journals/lancet/article/PIIS0140673620325198/fulltext" TargetMode="External"/><Relationship Id="rId21" Type="http://schemas.openxmlformats.org/officeDocument/2006/relationships/hyperlink" Target="https://doiserbia.nb.rs/Article.aspx?ID=0370-81792200060G" TargetMode="External"/><Relationship Id="rId34" Type="http://schemas.openxmlformats.org/officeDocument/2006/relationships/hyperlink" Target="http://www.doiserbia.nb.rs/img/doi/0042-8450/2021/0042-84501900116R.pdf" TargetMode="External"/><Relationship Id="rId42" Type="http://schemas.openxmlformats.org/officeDocument/2006/relationships/hyperlink" Target="https://onlinelibrary.wiley.com/doi/epdf/10.1002/ehf2.13061" TargetMode="External"/><Relationship Id="rId47" Type="http://schemas.openxmlformats.org/officeDocument/2006/relationships/hyperlink" Target="https://www.termedia.pl/Giant-left-anterior-descending-artery-aneurysm,35,40171,1,1.html" TargetMode="External"/><Relationship Id="rId50" Type="http://schemas.openxmlformats.org/officeDocument/2006/relationships/hyperlink" Target="https://www.nejm.org/doi/full/10.1056/NEJMoa1916370" TargetMode="External"/><Relationship Id="rId55" Type="http://schemas.openxmlformats.org/officeDocument/2006/relationships/hyperlink" Target="https://watermark.silverchair.com/pvz048.pdf?token=AQECAHi208BE49Ooan9kkhW_Ercy7Dm3ZL_9Cf3qfKAc485ysgAAAqEwggKdBgkqhkiG9w0BBwagggKOMIICigIBADCCAoMGCSqGSIb3DQEHATAeBglghkgBZQMEAS4wEQQM4Wrm43iKABYKLtRnAgEQgIICVDBChNNhGwRFcWDlP4K8WtMaV3LfJDrUZ62EY5TmzxyqikvBt" TargetMode="External"/><Relationship Id="rId63" Type="http://schemas.openxmlformats.org/officeDocument/2006/relationships/hyperlink" Target="https://pubmed.ncbi.nlm.nih.gov/30835563/" TargetMode="External"/><Relationship Id="rId68" Type="http://schemas.openxmlformats.org/officeDocument/2006/relationships/hyperlink" Target="https://www.researchgate.net/publication/323341168" TargetMode="External"/><Relationship Id="rId76" Type="http://schemas.openxmlformats.org/officeDocument/2006/relationships/hyperlink" Target="http://kobson.nb.rs/nauka_u_srbiji.132.html?autor=Susak%20Stamenko%20S" TargetMode="External"/><Relationship Id="rId84" Type="http://schemas.openxmlformats.org/officeDocument/2006/relationships/hyperlink" Target="http://onlinelibrary.wiley.com/doi/10.1111/jocs.12547/pdf" TargetMode="External"/><Relationship Id="rId89" Type="http://schemas.openxmlformats.org/officeDocument/2006/relationships/hyperlink" Target="http://www.doiserbia.nb.rs/img/doi/0042-8450/2014/0042-84501401027C.pdf" TargetMode="External"/><Relationship Id="rId7" Type="http://schemas.openxmlformats.org/officeDocument/2006/relationships/hyperlink" Target="https://www.mdpi.com/2075-1729/14/7/863" TargetMode="External"/><Relationship Id="rId71" Type="http://schemas.openxmlformats.org/officeDocument/2006/relationships/hyperlink" Target="https://www.hindawi.com/journals/jhe/2017/58179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rontiersin.org/articles/10.3389/fendo.2023.1167087/full" TargetMode="External"/><Relationship Id="rId29" Type="http://schemas.openxmlformats.org/officeDocument/2006/relationships/hyperlink" Target="https://www.mdpi.com/1648-9144/58/2/314/htm" TargetMode="External"/><Relationship Id="rId11" Type="http://schemas.openxmlformats.org/officeDocument/2006/relationships/hyperlink" Target="https://doiserbia.nb.rs/Article.aspx?ID=0370-81792300066S" TargetMode="External"/><Relationship Id="rId24" Type="http://schemas.openxmlformats.org/officeDocument/2006/relationships/hyperlink" Target="https://www.ncbi.nlm.nih.gov/pmc/articles/PMC9468729/" TargetMode="External"/><Relationship Id="rId32" Type="http://schemas.openxmlformats.org/officeDocument/2006/relationships/hyperlink" Target="https://pubmed.ncbi.nlm.nih.gov/34137238/" TargetMode="External"/><Relationship Id="rId37" Type="http://schemas.openxmlformats.org/officeDocument/2006/relationships/hyperlink" Target="https://hrcak.srce.hr/file/378054" TargetMode="External"/><Relationship Id="rId40" Type="http://schemas.openxmlformats.org/officeDocument/2006/relationships/hyperlink" Target="https://pubmed.ncbi.nlm.nih.gov/33300462/" TargetMode="External"/><Relationship Id="rId45" Type="http://schemas.openxmlformats.org/officeDocument/2006/relationships/hyperlink" Target="https://pubmed.ncbi.nlm.nih.gov/32602786/" TargetMode="External"/><Relationship Id="rId53" Type="http://schemas.openxmlformats.org/officeDocument/2006/relationships/hyperlink" Target="https://iris.unito.it/retrieve/handle/2318/1721549/559696/Bianco%20et%20al-%20post-print.pdf" TargetMode="External"/><Relationship Id="rId58" Type="http://schemas.openxmlformats.org/officeDocument/2006/relationships/hyperlink" Target="https://pubmed.ncbi.nlm.nih.gov/30270638/" TargetMode="External"/><Relationship Id="rId66" Type="http://schemas.openxmlformats.org/officeDocument/2006/relationships/hyperlink" Target="https://ac.els-cdn.com/S0167527318305540/1-s2.0-S0167527318305540-main.pdf?_tid=88ac0e84-9fcb-45d7-8b29-c66019693d55&amp;acdnat=1542612787_7af15fa45e0e8d12b23b974056d049ec" TargetMode="External"/><Relationship Id="rId74" Type="http://schemas.openxmlformats.org/officeDocument/2006/relationships/hyperlink" Target="https://ac.els-cdn.com/S2210778917300077/1-s2.0-S2210778917300077-main.pdf?_tid=a5a05fa6-de69-11e7-be1a-00000aab0f6c&amp;acdnat=1512993279_fea60315beb709a45e46fb0a00ae5e8e" TargetMode="External"/><Relationship Id="rId79" Type="http://schemas.openxmlformats.org/officeDocument/2006/relationships/hyperlink" Target="http://kobson.nb.rs/nauka_u_srbiji.132.html?autor=Velicki%20Lazar%20U" TargetMode="External"/><Relationship Id="rId87" Type="http://schemas.openxmlformats.org/officeDocument/2006/relationships/hyperlink" Target="http://onlinelibrary.wiley.com/doi/10.1111/jocs.12441/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ader.elsevier.com/reader/sd/pii/S1885585718302135?token=5328C5ACCC9E778C41083DBFE9AAECE9F4A1A5120CEBE50DC114AB971AB4A6233C2006F6BE96E0A5C9EDC42FB5EF2C1E" TargetMode="External"/><Relationship Id="rId82" Type="http://schemas.openxmlformats.org/officeDocument/2006/relationships/hyperlink" Target="https://www.researchgate.net/publication/303555643_eReply_re_Atrial_septal_defect_closure_with_a_composite_check-valved_patch_in_pulmonary_hypertensive_patient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oiserbia.nb.rs/Article.aspx?ID=0370-81792200086M" TargetMode="External"/><Relationship Id="rId14" Type="http://schemas.openxmlformats.org/officeDocument/2006/relationships/hyperlink" Target="https://www.sciencedirect.com/science/article/pii/S2405844023039312?via%3Dihub" TargetMode="External"/><Relationship Id="rId22" Type="http://schemas.openxmlformats.org/officeDocument/2006/relationships/hyperlink" Target="https://link.springer.com/article/10.1007/s40256-022-00554-5" TargetMode="External"/><Relationship Id="rId27" Type="http://schemas.openxmlformats.org/officeDocument/2006/relationships/hyperlink" Target="https://www.ahajournals.org/doi/epub/10.1161/CIRCULATIONAHA.121.057639" TargetMode="External"/><Relationship Id="rId30" Type="http://schemas.openxmlformats.org/officeDocument/2006/relationships/hyperlink" Target="https://hrcak.srce.hr/file/399159" TargetMode="External"/><Relationship Id="rId35" Type="http://schemas.openxmlformats.org/officeDocument/2006/relationships/hyperlink" Target="https://www.sciencedirect.com/science/article/pii/S001048252100442X?via%3Dihub" TargetMode="External"/><Relationship Id="rId43" Type="http://schemas.openxmlformats.org/officeDocument/2006/relationships/hyperlink" Target="https://ezproxy.nb.rs:2078/article/10.1007/s13239-020-00494-8" TargetMode="External"/><Relationship Id="rId48" Type="http://schemas.openxmlformats.org/officeDocument/2006/relationships/hyperlink" Target="https://onlinelibrary.wiley.com/doi/abs/10.1111/jocs.14546" TargetMode="External"/><Relationship Id="rId56" Type="http://schemas.openxmlformats.org/officeDocument/2006/relationships/hyperlink" Target="https://orbi.uliege.be/bitstream/2268/248182/1/ehz620.pdf" TargetMode="External"/><Relationship Id="rId64" Type="http://schemas.openxmlformats.org/officeDocument/2006/relationships/hyperlink" Target="https://www.ncbi.nlm.nih.gov/pmc/articles/PMC6437429/pdf/EHF2-6-449.pdf" TargetMode="External"/><Relationship Id="rId69" Type="http://schemas.openxmlformats.org/officeDocument/2006/relationships/hyperlink" Target="http://heart.bmj.com/content/heartjnl/early/2017/06/11/heartjnl-2017-311275.full.pdf" TargetMode="External"/><Relationship Id="rId77" Type="http://schemas.openxmlformats.org/officeDocument/2006/relationships/hyperlink" Target="http://kobson.nb.rs/nauka_u_srbiji.132.html?autor=Redzek%20Aleksandar" TargetMode="External"/><Relationship Id="rId8" Type="http://schemas.openxmlformats.org/officeDocument/2006/relationships/hyperlink" Target="https://www.sciencedirect.com/science/article/pii/S0039914024004582?via%3Dihub" TargetMode="External"/><Relationship Id="rId51" Type="http://schemas.openxmlformats.org/officeDocument/2006/relationships/hyperlink" Target="https://onlinelibrary.wiley.com/doi/epdf/10.1002/clc.23346" TargetMode="External"/><Relationship Id="rId72" Type="http://schemas.openxmlformats.org/officeDocument/2006/relationships/hyperlink" Target="https://www.termedia.pl/Late-complications-of-transcatheter-atrial-septal-defect-closure-requiring-urgent-surgery,35,31048,1,1.html" TargetMode="External"/><Relationship Id="rId80" Type="http://schemas.openxmlformats.org/officeDocument/2006/relationships/hyperlink" Target="http://kobson.nb.rs/nauka_u_srbiji.132.html?autor=Okiljevic%20Bogdan" TargetMode="External"/><Relationship Id="rId85" Type="http://schemas.openxmlformats.org/officeDocument/2006/relationships/hyperlink" Target="http://www.tandfonline.com/doi/pdf/10.3109/10929088.2015.1076036?needAccess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mc/articles/PMC10456451/" TargetMode="External"/><Relationship Id="rId17" Type="http://schemas.openxmlformats.org/officeDocument/2006/relationships/hyperlink" Target="https://link.springer.com/article/10.1007/s11010-023-04690-7" TargetMode="External"/><Relationship Id="rId25" Type="http://schemas.openxmlformats.org/officeDocument/2006/relationships/hyperlink" Target="https://bmccardiovascdisord.biomedcentral.com/articles/10.1186/s12872-022-02829-w" TargetMode="External"/><Relationship Id="rId33" Type="http://schemas.openxmlformats.org/officeDocument/2006/relationships/hyperlink" Target="https://www.mdpi.com/2075-1729/11/8/785/htm" TargetMode="External"/><Relationship Id="rId38" Type="http://schemas.openxmlformats.org/officeDocument/2006/relationships/hyperlink" Target="https://pubmed.ncbi.nlm.nih.gov/34224052/" TargetMode="External"/><Relationship Id="rId46" Type="http://schemas.openxmlformats.org/officeDocument/2006/relationships/hyperlink" Target="https://pdf.sciencedirectassets.com/272310/1-s2.0-S1053077020X00140/1-s2.0-S1053077020304900/main.pdf?X-Amz-Security-Token=IQoJb3JpZ2luX2VjECwaCXVzLWVhc3QtMSJHMEUCIQCQnfqAMhTuHYSb9poc4mOHXf2Vc2RGKWVWBzMXb6jyPAIgdCYpd08FwISQcOsoXmOs0Co2ir%2BxHtzl2J9cgnDfBnc" TargetMode="External"/><Relationship Id="rId59" Type="http://schemas.openxmlformats.org/officeDocument/2006/relationships/hyperlink" Target="https://reader.elsevier.com/reader/sd/pii/S0010482518303445?token=CBDB1E839390A268EA6E84D0A7CF8E710BE1AC66E89B242A97321F1EBE5E1138D7C4253D5EA3FDF754F5C39FDE3AD0D5" TargetMode="External"/><Relationship Id="rId67" Type="http://schemas.openxmlformats.org/officeDocument/2006/relationships/hyperlink" Target="https://reader.elsevier.com/reader/sd/D6E847AFB297E2F5F97010E18232DF0546CE417C6EF710475FDF277E5B992F70AA7314B56ACC995E75E4CEA00B2D54A3" TargetMode="External"/><Relationship Id="rId20" Type="http://schemas.openxmlformats.org/officeDocument/2006/relationships/hyperlink" Target="https://doiserbia.nb.rs/Article.aspx?ID=0042-84502100044C" TargetMode="External"/><Relationship Id="rId41" Type="http://schemas.openxmlformats.org/officeDocument/2006/relationships/hyperlink" Target="https://bmccardiovascdisord.biomedcentral.com/articles/10.1186/s12872-020-01807-4" TargetMode="External"/><Relationship Id="rId54" Type="http://schemas.openxmlformats.org/officeDocument/2006/relationships/hyperlink" Target="https://www.researchgate.net/publication/336276270_Efficacy_and_Safety_of_Clopidogrel_Prasugrel_and_Ticagrelor_in_ACS_Patients_Treated_with_PCI_A_Propensity_Score_Analysis_of_the_RENAMI_and_BleeMACS_Registries" TargetMode="External"/><Relationship Id="rId62" Type="http://schemas.openxmlformats.org/officeDocument/2006/relationships/hyperlink" Target="https://reader.elsevier.com/reader/sd/pii/S1885585718302135?token=36E1879897B5AB75E94E87D3AEC6E01ACD4F353E38C012FB0D27418E22ACAF13FE1F17DF75514D50A555FEFD367AE29D" TargetMode="External"/><Relationship Id="rId70" Type="http://schemas.openxmlformats.org/officeDocument/2006/relationships/hyperlink" Target=".%20Skeletonization%20method%20for%20vessel%20delineation%20of%20arteriovenous%20malformation" TargetMode="External"/><Relationship Id="rId75" Type="http://schemas.openxmlformats.org/officeDocument/2006/relationships/hyperlink" Target="http://www.onlinejacc.org/content/69/15/1924" TargetMode="External"/><Relationship Id="rId83" Type="http://schemas.openxmlformats.org/officeDocument/2006/relationships/hyperlink" Target="https://www.researchgate.net/profile/Stamenko_Susak/publication/296193759_Closure_of_an_atrial_septal_defect_with_a_one-way_flap_patch_in_a_patient_with_severe_pulmonary_hypertension/links/574a9cc908ae5c51e29e8f66.pdf?origin=publication_list" TargetMode="External"/><Relationship Id="rId88" Type="http://schemas.openxmlformats.org/officeDocument/2006/relationships/hyperlink" Target="https://pubmed.ncbi.nlm.nih.gov/24752870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Velicki%20Lazar%20U&amp;amp;samoar&amp;amp;.WOy3q7i__cc" TargetMode="External"/><Relationship Id="rId15" Type="http://schemas.openxmlformats.org/officeDocument/2006/relationships/hyperlink" Target="https://www.mdpi.com/2077-0383/12/11/3821" TargetMode="External"/><Relationship Id="rId23" Type="http://schemas.openxmlformats.org/officeDocument/2006/relationships/hyperlink" Target="https://www.mdpi.com/2075-1729/12/10/1566" TargetMode="External"/><Relationship Id="rId28" Type="http://schemas.openxmlformats.org/officeDocument/2006/relationships/hyperlink" Target="https://medinform.jmir.org/2022/2/e30483" TargetMode="External"/><Relationship Id="rId36" Type="http://schemas.openxmlformats.org/officeDocument/2006/relationships/hyperlink" Target="https://www.biomed.cas.cz/physiolres/pdf/2021/70_393.pdf" TargetMode="External"/><Relationship Id="rId49" Type="http://schemas.openxmlformats.org/officeDocument/2006/relationships/hyperlink" Target="https://www.ncbi.nlm.nih.gov/pmc/articles/PMC7263833/pdf/nihms-1590454.pdf" TargetMode="External"/><Relationship Id="rId57" Type="http://schemas.openxmlformats.org/officeDocument/2006/relationships/hyperlink" Target="https://journals.sagepub.com/doi/pdf/10.1177/2047487319836327" TargetMode="External"/><Relationship Id="rId10" Type="http://schemas.openxmlformats.org/officeDocument/2006/relationships/hyperlink" Target="https://www.mdpi.com/2077-0383/13/9/2596" TargetMode="External"/><Relationship Id="rId31" Type="http://schemas.openxmlformats.org/officeDocument/2006/relationships/hyperlink" Target="https://biodatamining.biomedcentral.com/articles/10.1186/s13040-021-00279-2" TargetMode="External"/><Relationship Id="rId44" Type="http://schemas.openxmlformats.org/officeDocument/2006/relationships/hyperlink" Target="https://pubmed.ncbi.nlm.nih.gov/33059979/" TargetMode="External"/><Relationship Id="rId52" Type="http://schemas.openxmlformats.org/officeDocument/2006/relationships/hyperlink" Target="https://iris.unito.it/retrieve/handle/2318/1725725/627532/Average%20daily%20ischemic%20vs.%20bleeding%20risk%20AHJ.pdf" TargetMode="External"/><Relationship Id="rId60" Type="http://schemas.openxmlformats.org/officeDocument/2006/relationships/hyperlink" Target="https://scindeks-clanci.ceon.rs/data/pdf/0042-8450/2019/0042-84501902152P.pdf" TargetMode="External"/><Relationship Id="rId65" Type="http://schemas.openxmlformats.org/officeDocument/2006/relationships/hyperlink" Target="https://link.springer.com/content/pdf/10.1007%2Fs12471-018-1150-0.pdf" TargetMode="External"/><Relationship Id="rId73" Type="http://schemas.openxmlformats.org/officeDocument/2006/relationships/hyperlink" Target="http://www.doiserbia.nb.rs/img/doi/0370-8179/2017/0370-81791700097B.pdf" TargetMode="External"/><Relationship Id="rId78" Type="http://schemas.openxmlformats.org/officeDocument/2006/relationships/hyperlink" Target="http://kobson.nb.rs/nauka_u_srbiji.132.html?autor=Rosic%20Milenko%20I" TargetMode="External"/><Relationship Id="rId81" Type="http://schemas.openxmlformats.org/officeDocument/2006/relationships/hyperlink" Target="http://www.doiserbia.nb.rs/img/doi/0370-8179/2016/0370-81791612670S.pdf" TargetMode="External"/><Relationship Id="rId86" Type="http://schemas.openxmlformats.org/officeDocument/2006/relationships/hyperlink" Target="http://ac.els-cdn.com/S0010482515000335/1-s2.0-S0010482515000335-main.pdf?_tid=989cf52a-1ead-11e7-9b36-00000aacb35e&amp;acdnat=1491911839_1ecc19a84c84bc025792b6c3eab74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eestant.ceon.rs/index.php/jomb/article/view/47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95CB-3735-47FC-B178-5AB92F96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53</cp:revision>
  <cp:lastPrinted>2022-09-01T08:28:00Z</cp:lastPrinted>
  <dcterms:created xsi:type="dcterms:W3CDTF">2021-01-25T17:13:00Z</dcterms:created>
  <dcterms:modified xsi:type="dcterms:W3CDTF">2024-09-16T12:02:00Z</dcterms:modified>
</cp:coreProperties>
</file>